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color w:val="auto"/>
          <w:u w:val="none"/>
          <w:lang w:val="en-US" w:eastAsia="zh-CN"/>
        </w:rPr>
      </w:pPr>
      <w:r>
        <w:rPr>
          <w:rFonts w:hint="eastAsia" w:ascii="黑体" w:hAnsi="黑体" w:eastAsia="黑体" w:cs="黑体"/>
          <w:color w:val="auto"/>
          <w:u w:val="none"/>
          <w:lang w:val="en-US" w:eastAsia="zh-CN"/>
        </w:rPr>
        <w:t>附  件</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中共平顶山市教育体育局党组</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“不忘初心、牢记使命”主题教育领导小组</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lang w:val="en-US" w:eastAsia="zh-CN"/>
        </w:rPr>
        <w:t>组成人员名单</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u w:val="none"/>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组  长：邱红标  市教体局党组书记、局长</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eastAsia" w:ascii="仿宋_GB2312" w:hAnsi="仿宋_GB2312" w:cs="仿宋_GB2312"/>
          <w:color w:val="auto"/>
          <w:u w:val="none"/>
          <w:lang w:val="en-US" w:eastAsia="zh-CN"/>
        </w:rPr>
      </w:pPr>
      <w:r>
        <w:rPr>
          <w:rFonts w:hint="eastAsia" w:ascii="仿宋_GB2312" w:hAnsi="仿宋_GB2312" w:cs="仿宋_GB2312"/>
          <w:color w:val="auto"/>
          <w:u w:val="none"/>
          <w:lang w:val="en-US" w:eastAsia="zh-CN"/>
        </w:rPr>
        <w:t>副组长：苏红英  市教体局党组成员、副局长</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1280" w:firstLineChars="400"/>
        <w:textAlignment w:val="auto"/>
        <w:rPr>
          <w:rFonts w:hint="eastAsia" w:ascii="仿宋_GB2312" w:hAnsi="仿宋_GB2312" w:cs="仿宋_GB2312"/>
          <w:color w:val="auto"/>
          <w:u w:val="none"/>
          <w:lang w:val="en-US" w:eastAsia="zh-CN"/>
        </w:rPr>
      </w:pPr>
      <w:r>
        <w:rPr>
          <w:rFonts w:hint="eastAsia" w:ascii="仿宋_GB2312" w:hAnsi="仿宋_GB2312" w:cs="仿宋_GB2312"/>
          <w:color w:val="auto"/>
          <w:u w:val="none"/>
          <w:lang w:val="en-US" w:eastAsia="zh-CN"/>
        </w:rPr>
        <w:t>张国顺  市教体局党组成员、副局长</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60" w:lineRule="exact"/>
        <w:ind w:left="0" w:leftChars="0" w:right="0" w:rightChars="0" w:firstLine="1920" w:firstLineChars="600"/>
        <w:jc w:val="both"/>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郭志勇</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市教体局党组成员、副局长</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1280" w:firstLineChars="400"/>
        <w:textAlignment w:val="auto"/>
        <w:rPr>
          <w:rFonts w:hint="eastAsia" w:ascii="仿宋_GB2312" w:hAnsi="仿宋_GB2312" w:cs="仿宋_GB2312"/>
          <w:color w:val="auto"/>
          <w:u w:val="none"/>
          <w:lang w:val="en-US" w:eastAsia="zh-CN"/>
        </w:rPr>
      </w:pPr>
      <w:r>
        <w:rPr>
          <w:rFonts w:hint="eastAsia" w:ascii="仿宋_GB2312" w:eastAsia="仿宋_GB2312"/>
          <w:color w:val="auto"/>
          <w:sz w:val="32"/>
          <w:szCs w:val="32"/>
          <w:u w:val="none"/>
        </w:rPr>
        <w:t>胡彦军</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市教体局党组成员</w:t>
      </w:r>
      <w:r>
        <w:rPr>
          <w:rFonts w:hint="eastAsia" w:ascii="仿宋_GB2312" w:eastAsia="仿宋_GB2312"/>
          <w:color w:val="auto"/>
          <w:sz w:val="32"/>
          <w:szCs w:val="32"/>
          <w:u w:val="none"/>
        </w:rPr>
        <w:t>、市一中校长</w:t>
      </w:r>
    </w:p>
    <w:p>
      <w:pPr>
        <w:keepNext w:val="0"/>
        <w:keepLines w:val="0"/>
        <w:pageBreakBefore w:val="0"/>
        <w:widowControl w:val="0"/>
        <w:kinsoku/>
        <w:wordWrap w:val="0"/>
        <w:overflowPunct/>
        <w:topLinePunct w:val="0"/>
        <w:autoSpaceDE/>
        <w:autoSpaceDN/>
        <w:bidi w:val="0"/>
        <w:adjustRightInd/>
        <w:snapToGrid/>
        <w:spacing w:line="560" w:lineRule="exact"/>
        <w:ind w:left="3203" w:leftChars="601" w:hanging="1280" w:hangingChars="4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李俊峰</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w:t>
      </w:r>
      <w:r>
        <w:rPr>
          <w:rFonts w:hint="eastAsia" w:ascii="仿宋_GB2312" w:eastAsia="仿宋_GB2312"/>
          <w:color w:val="auto"/>
          <w:sz w:val="32"/>
          <w:szCs w:val="32"/>
          <w:u w:val="none"/>
          <w:lang w:eastAsia="zh-CN"/>
        </w:rPr>
        <w:t>党组成员</w:t>
      </w:r>
      <w:r>
        <w:rPr>
          <w:rFonts w:hint="eastAsia" w:ascii="仿宋_GB2312" w:eastAsia="仿宋_GB2312"/>
          <w:color w:val="auto"/>
          <w:sz w:val="32"/>
          <w:szCs w:val="32"/>
          <w:u w:val="none"/>
          <w:lang w:val="en-US" w:eastAsia="zh-CN"/>
        </w:rPr>
        <w:t>、副调研员</w:t>
      </w:r>
    </w:p>
    <w:p>
      <w:pPr>
        <w:keepNext w:val="0"/>
        <w:keepLines w:val="0"/>
        <w:pageBreakBefore w:val="0"/>
        <w:widowControl w:val="0"/>
        <w:kinsoku/>
        <w:wordWrap w:val="0"/>
        <w:overflowPunct/>
        <w:topLinePunct w:val="0"/>
        <w:autoSpaceDE/>
        <w:autoSpaceDN/>
        <w:bidi w:val="0"/>
        <w:adjustRightInd/>
        <w:snapToGrid/>
        <w:spacing w:line="560" w:lineRule="exact"/>
        <w:ind w:left="3203" w:leftChars="601" w:hanging="1280" w:hangingChars="4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钮春黎</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w:t>
      </w:r>
      <w:r>
        <w:rPr>
          <w:rFonts w:hint="eastAsia" w:ascii="仿宋_GB2312" w:eastAsia="仿宋_GB2312"/>
          <w:color w:val="auto"/>
          <w:sz w:val="32"/>
          <w:szCs w:val="32"/>
          <w:u w:val="none"/>
        </w:rPr>
        <w:t>调研员</w:t>
      </w:r>
    </w:p>
    <w:p>
      <w:pPr>
        <w:keepNext w:val="0"/>
        <w:keepLines w:val="0"/>
        <w:pageBreakBefore w:val="0"/>
        <w:widowControl w:val="0"/>
        <w:kinsoku/>
        <w:wordWrap w:val="0"/>
        <w:overflowPunct/>
        <w:topLinePunct w:val="0"/>
        <w:autoSpaceDE/>
        <w:autoSpaceDN/>
        <w:bidi w:val="0"/>
        <w:adjustRightInd/>
        <w:snapToGrid/>
        <w:spacing w:line="560" w:lineRule="exact"/>
        <w:ind w:left="3203" w:leftChars="601" w:hanging="1280" w:hangingChars="4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rPr>
        <w:t>翟瑞安</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w:t>
      </w:r>
      <w:r>
        <w:rPr>
          <w:rFonts w:hint="eastAsia" w:ascii="仿宋_GB2312" w:eastAsia="仿宋_GB2312"/>
          <w:color w:val="auto"/>
          <w:sz w:val="32"/>
          <w:szCs w:val="32"/>
          <w:u w:val="none"/>
        </w:rPr>
        <w:t>副调研员</w:t>
      </w:r>
    </w:p>
    <w:p>
      <w:pPr>
        <w:keepNext w:val="0"/>
        <w:keepLines w:val="0"/>
        <w:pageBreakBefore w:val="0"/>
        <w:widowControl w:val="0"/>
        <w:kinsoku/>
        <w:wordWrap w:val="0"/>
        <w:overflowPunct/>
        <w:topLinePunct w:val="0"/>
        <w:autoSpaceDE/>
        <w:autoSpaceDN/>
        <w:bidi w:val="0"/>
        <w:adjustRightInd/>
        <w:snapToGrid/>
        <w:spacing w:line="560" w:lineRule="exact"/>
        <w:ind w:left="3203" w:leftChars="601" w:hanging="1280" w:hangingChars="4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刘占立</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w:t>
      </w:r>
      <w:r>
        <w:rPr>
          <w:rFonts w:hint="eastAsia" w:ascii="仿宋_GB2312" w:eastAsia="仿宋_GB2312"/>
          <w:color w:val="auto"/>
          <w:sz w:val="32"/>
          <w:szCs w:val="32"/>
          <w:u w:val="none"/>
        </w:rPr>
        <w:t>副调研员</w:t>
      </w:r>
    </w:p>
    <w:p>
      <w:pPr>
        <w:keepNext w:val="0"/>
        <w:keepLines w:val="0"/>
        <w:pageBreakBefore w:val="0"/>
        <w:widowControl w:val="0"/>
        <w:kinsoku/>
        <w:wordWrap w:val="0"/>
        <w:overflowPunct/>
        <w:topLinePunct w:val="0"/>
        <w:autoSpaceDE/>
        <w:autoSpaceDN/>
        <w:bidi w:val="0"/>
        <w:adjustRightInd/>
        <w:snapToGrid/>
        <w:spacing w:line="560" w:lineRule="exact"/>
        <w:ind w:left="3203" w:leftChars="601" w:hanging="1280" w:hangingChars="4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段晓兵</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w:t>
      </w:r>
      <w:r>
        <w:rPr>
          <w:rFonts w:hint="eastAsia" w:ascii="仿宋_GB2312" w:eastAsia="仿宋_GB2312"/>
          <w:color w:val="auto"/>
          <w:sz w:val="32"/>
          <w:szCs w:val="32"/>
          <w:u w:val="none"/>
        </w:rPr>
        <w:t>副调研员</w:t>
      </w:r>
    </w:p>
    <w:p>
      <w:pPr>
        <w:keepNext w:val="0"/>
        <w:keepLines w:val="0"/>
        <w:pageBreakBefore w:val="0"/>
        <w:widowControl w:val="0"/>
        <w:kinsoku/>
        <w:wordWrap w:val="0"/>
        <w:overflowPunct/>
        <w:topLinePunct w:val="0"/>
        <w:autoSpaceDE/>
        <w:autoSpaceDN/>
        <w:bidi w:val="0"/>
        <w:adjustRightInd/>
        <w:snapToGrid/>
        <w:spacing w:line="560" w:lineRule="exact"/>
        <w:ind w:left="3203" w:leftChars="601" w:hanging="1280" w:hangingChars="4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许</w:t>
      </w:r>
      <w:r>
        <w:rPr>
          <w:rFonts w:hint="eastAsia" w:ascii="仿宋_GB2312"/>
          <w:color w:val="auto"/>
          <w:sz w:val="32"/>
          <w:szCs w:val="32"/>
          <w:u w:val="none"/>
          <w:lang w:val="en-US" w:eastAsia="zh-CN"/>
        </w:rPr>
        <w:t xml:space="preserve">  </w:t>
      </w:r>
      <w:r>
        <w:rPr>
          <w:rFonts w:hint="eastAsia" w:ascii="仿宋_GB2312" w:eastAsia="仿宋_GB2312"/>
          <w:color w:val="auto"/>
          <w:sz w:val="32"/>
          <w:szCs w:val="32"/>
          <w:u w:val="none"/>
          <w:lang w:val="en-US" w:eastAsia="zh-CN"/>
        </w:rPr>
        <w:t>钝</w:t>
      </w:r>
      <w:r>
        <w:rPr>
          <w:rFonts w:hint="eastAsia" w:ascii="仿宋_GB2312"/>
          <w:color w:val="auto"/>
          <w:sz w:val="32"/>
          <w:szCs w:val="32"/>
          <w:u w:val="none"/>
          <w:lang w:val="en-US" w:eastAsia="zh-CN"/>
        </w:rPr>
        <w:t xml:space="preserve">  </w:t>
      </w:r>
      <w:r>
        <w:rPr>
          <w:rFonts w:hint="eastAsia" w:ascii="仿宋_GB2312" w:hAnsi="仿宋_GB2312" w:cs="仿宋_GB2312"/>
          <w:color w:val="auto"/>
          <w:u w:val="none"/>
          <w:lang w:val="en-US" w:eastAsia="zh-CN"/>
        </w:rPr>
        <w:t>市教体局</w:t>
      </w:r>
      <w:r>
        <w:rPr>
          <w:rFonts w:hint="eastAsia" w:ascii="仿宋_GB2312" w:eastAsia="仿宋_GB2312"/>
          <w:color w:val="auto"/>
          <w:sz w:val="32"/>
          <w:szCs w:val="32"/>
          <w:u w:val="none"/>
        </w:rPr>
        <w:t>副调研员</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eastAsia" w:ascii="仿宋_GB2312" w:hAnsi="仿宋_GB2312" w:cs="仿宋_GB2312"/>
          <w:b/>
          <w:bCs/>
          <w:color w:val="auto"/>
          <w:u w:val="none"/>
          <w:lang w:val="en-US" w:eastAsia="zh-CN"/>
        </w:rPr>
      </w:pPr>
      <w:r>
        <w:rPr>
          <w:rFonts w:hint="default" w:ascii="仿宋_GB2312" w:hAnsi="仿宋_GB2312" w:cs="仿宋_GB2312"/>
          <w:b/>
          <w:bCs/>
          <w:color w:val="auto"/>
          <w:u w:val="none"/>
          <w:lang w:val="en-US" w:eastAsia="zh-CN"/>
        </w:rPr>
        <w:t>领导小组下设办公室。办公室组成人员和主要职责如下：</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主  任：苏红英</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常务副主任：陈成功</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副主任：薛耀炜  王  蕾  宋会娥  李元贞  张朝华</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b/>
          <w:bCs/>
          <w:color w:val="auto"/>
          <w:u w:val="none"/>
          <w:lang w:val="en-US" w:eastAsia="zh-CN"/>
        </w:rPr>
      </w:pPr>
      <w:r>
        <w:rPr>
          <w:rFonts w:hint="default" w:ascii="仿宋_GB2312" w:hAnsi="仿宋_GB2312" w:cs="仿宋_GB2312"/>
          <w:b/>
          <w:bCs/>
          <w:color w:val="auto"/>
          <w:u w:val="none"/>
          <w:lang w:val="en-US" w:eastAsia="zh-CN"/>
        </w:rPr>
        <w:t>办公室设综合组、专项整治组、指导组。</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b/>
          <w:bCs/>
          <w:color w:val="auto"/>
          <w:u w:val="none"/>
          <w:lang w:val="en-US" w:eastAsia="zh-CN"/>
        </w:rPr>
      </w:pPr>
      <w:r>
        <w:rPr>
          <w:rFonts w:hint="eastAsia" w:ascii="仿宋_GB2312" w:hAnsi="仿宋_GB2312" w:cs="仿宋_GB2312"/>
          <w:b/>
          <w:bCs/>
          <w:color w:val="auto"/>
          <w:u w:val="none"/>
          <w:lang w:val="en-US" w:eastAsia="zh-CN"/>
        </w:rPr>
        <w:t>1.</w:t>
      </w:r>
      <w:r>
        <w:rPr>
          <w:rFonts w:hint="default" w:ascii="仿宋_GB2312" w:hAnsi="仿宋_GB2312" w:cs="仿宋_GB2312"/>
          <w:b/>
          <w:bCs/>
          <w:color w:val="auto"/>
          <w:u w:val="none"/>
          <w:lang w:val="en-US" w:eastAsia="zh-CN"/>
        </w:rPr>
        <w:t>综合组</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牵头科室</w:t>
      </w:r>
      <w:r>
        <w:rPr>
          <w:rFonts w:hint="default" w:ascii="仿宋_GB2312" w:hAnsi="仿宋_GB2312" w:cs="仿宋_GB2312"/>
          <w:color w:val="auto"/>
          <w:u w:val="none"/>
          <w:lang w:val="en-US" w:eastAsia="zh-CN"/>
        </w:rPr>
        <w:t>：</w:t>
      </w:r>
      <w:r>
        <w:rPr>
          <w:rFonts w:hint="eastAsia" w:ascii="仿宋_GB2312" w:hAnsi="仿宋_GB2312" w:cs="仿宋_GB2312"/>
          <w:color w:val="auto"/>
          <w:u w:val="none"/>
          <w:lang w:val="en-US" w:eastAsia="zh-CN"/>
        </w:rPr>
        <w:t>机关党委</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u w:val="none"/>
          <w:lang w:val="en-US" w:eastAsia="zh-CN"/>
        </w:rPr>
      </w:pPr>
      <w:r>
        <w:rPr>
          <w:rFonts w:hint="eastAsia" w:ascii="仿宋_GB2312" w:hAnsi="仿宋_GB2312" w:cs="仿宋_GB2312"/>
          <w:color w:val="auto"/>
          <w:u w:val="none"/>
          <w:lang w:val="en-US" w:eastAsia="zh-CN"/>
        </w:rPr>
        <w:t>成员科室</w:t>
      </w:r>
      <w:r>
        <w:rPr>
          <w:rFonts w:hint="default" w:ascii="仿宋_GB2312" w:hAnsi="仿宋_GB2312" w:cs="仿宋_GB2312"/>
          <w:color w:val="auto"/>
          <w:u w:val="none"/>
          <w:lang w:val="en-US" w:eastAsia="zh-CN"/>
        </w:rPr>
        <w:t>：市委教育工作领导小组秘书组秘书科</w:t>
      </w:r>
      <w:r>
        <w:rPr>
          <w:rFonts w:hint="eastAsia" w:ascii="仿宋_GB2312" w:hAnsi="仿宋_GB2312" w:cs="仿宋_GB2312"/>
          <w:color w:val="auto"/>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u w:val="none"/>
          <w:lang w:val="en-US" w:eastAsia="zh-CN"/>
        </w:rPr>
      </w:pPr>
      <w:bookmarkStart w:id="0" w:name="_GoBack"/>
      <w:bookmarkEnd w:id="0"/>
      <w:r>
        <w:rPr>
          <w:rFonts w:hint="eastAsia" w:ascii="仿宋_GB2312" w:hAnsi="仿宋_GB2312" w:cs="仿宋_GB2312"/>
          <w:color w:val="auto"/>
          <w:u w:val="none"/>
          <w:lang w:val="en-US" w:eastAsia="zh-CN"/>
        </w:rPr>
        <w:t>办公室  思想政治工作科  高等教育科</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auto"/>
          <w:u w:val="none"/>
          <w:lang w:val="en-US" w:eastAsia="zh-CN"/>
        </w:rPr>
      </w:pPr>
      <w:r>
        <w:rPr>
          <w:rFonts w:hint="default" w:ascii="仿宋_GB2312" w:hAnsi="仿宋_GB2312" w:cs="仿宋_GB2312"/>
          <w:color w:val="auto"/>
          <w:u w:val="none"/>
          <w:lang w:val="en-US" w:eastAsia="zh-CN"/>
        </w:rPr>
        <w:t>负责与市委领导小组办公室对接沟通、联系协调工作；做好各组的协调沟通工作；负责主题教育有关文件、相关会议和领导讲话材料的起草，相关会议的组织筹备及服务工作，编撰整理主题教育大事记；负责起草呈报党组</w:t>
      </w:r>
      <w:r>
        <w:rPr>
          <w:rFonts w:hint="default" w:ascii="仿宋_GB2312" w:hAnsi="仿宋_GB2312" w:cs="仿宋_GB2312"/>
          <w:color w:val="auto"/>
          <w:highlight w:val="none"/>
          <w:u w:val="none"/>
          <w:lang w:val="en-US" w:eastAsia="zh-CN"/>
        </w:rPr>
        <w:t>的</w:t>
      </w:r>
      <w:r>
        <w:rPr>
          <w:rFonts w:hint="default" w:ascii="仿宋_GB2312" w:hAnsi="仿宋_GB2312" w:cs="仿宋_GB2312"/>
          <w:color w:val="auto"/>
          <w:u w:val="none"/>
          <w:lang w:val="en-US" w:eastAsia="zh-CN"/>
        </w:rPr>
        <w:t>情况报告和总结报告，编发主题教育《简报》和《每周重点工作提示》，向市委领导小组办公室报送有关情况；负责党组会开展主题教育相关活动的方案提出、具体落实及沟通服务工作；负责局班子成员开展调研活动的相关服务工作；负责制定主题教育新闻宣传报道计划、方案，组织协调重要会议、重要活动的报道和日常报告工作；完成领导小组及办公室交办的其他工作。</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b/>
          <w:bCs/>
          <w:color w:val="auto"/>
          <w:u w:val="none"/>
          <w:lang w:val="en-US" w:eastAsia="zh-CN"/>
        </w:rPr>
      </w:pPr>
      <w:r>
        <w:rPr>
          <w:rFonts w:hint="eastAsia" w:ascii="仿宋_GB2312" w:hAnsi="仿宋_GB2312" w:cs="仿宋_GB2312"/>
          <w:b/>
          <w:bCs/>
          <w:color w:val="auto"/>
          <w:u w:val="none"/>
          <w:lang w:val="en-US" w:eastAsia="zh-CN"/>
        </w:rPr>
        <w:t>2.</w:t>
      </w:r>
      <w:r>
        <w:rPr>
          <w:rFonts w:hint="default" w:ascii="仿宋_GB2312" w:hAnsi="仿宋_GB2312" w:cs="仿宋_GB2312"/>
          <w:b/>
          <w:bCs/>
          <w:color w:val="auto"/>
          <w:u w:val="none"/>
          <w:lang w:val="en-US" w:eastAsia="zh-CN"/>
        </w:rPr>
        <w:t>专项整治组</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牵头科室</w:t>
      </w:r>
      <w:r>
        <w:rPr>
          <w:rFonts w:hint="default" w:ascii="仿宋_GB2312" w:hAnsi="仿宋_GB2312" w:cs="仿宋_GB2312"/>
          <w:color w:val="auto"/>
          <w:u w:val="none"/>
          <w:lang w:val="en-US" w:eastAsia="zh-CN"/>
        </w:rPr>
        <w:t>：</w:t>
      </w:r>
      <w:r>
        <w:rPr>
          <w:rFonts w:hint="eastAsia" w:ascii="仿宋_GB2312" w:hAnsi="仿宋_GB2312" w:cs="仿宋_GB2312"/>
          <w:color w:val="auto"/>
          <w:u w:val="none"/>
          <w:lang w:val="en-US" w:eastAsia="zh-CN"/>
        </w:rPr>
        <w:t>人事科</w:t>
      </w:r>
    </w:p>
    <w:p>
      <w:pPr>
        <w:keepNext w:val="0"/>
        <w:keepLines w:val="0"/>
        <w:pageBreakBefore w:val="0"/>
        <w:widowControl w:val="0"/>
        <w:kinsoku/>
        <w:wordWrap w:val="0"/>
        <w:overflowPunct/>
        <w:topLinePunct w:val="0"/>
        <w:autoSpaceDE/>
        <w:autoSpaceDN/>
        <w:bidi w:val="0"/>
        <w:adjustRightInd/>
        <w:snapToGrid/>
        <w:spacing w:line="560" w:lineRule="exact"/>
        <w:ind w:left="2246" w:leftChars="202" w:hanging="1600" w:hangingChars="500"/>
        <w:textAlignment w:val="auto"/>
        <w:rPr>
          <w:rFonts w:hint="default" w:ascii="仿宋_GB2312" w:hAnsi="仿宋_GB2312" w:cs="仿宋_GB2312"/>
          <w:color w:val="auto"/>
          <w:u w:val="none"/>
          <w:lang w:val="en-US" w:eastAsia="zh-CN"/>
        </w:rPr>
      </w:pPr>
      <w:r>
        <w:rPr>
          <w:rFonts w:hint="eastAsia" w:ascii="仿宋_GB2312" w:hAnsi="仿宋_GB2312" w:cs="仿宋_GB2312"/>
          <w:color w:val="auto"/>
          <w:u w:val="none"/>
          <w:lang w:val="en-US" w:eastAsia="zh-CN"/>
        </w:rPr>
        <w:t>成员科室</w:t>
      </w:r>
      <w:r>
        <w:rPr>
          <w:rFonts w:hint="default" w:ascii="仿宋_GB2312" w:hAnsi="仿宋_GB2312" w:cs="仿宋_GB2312"/>
          <w:color w:val="auto"/>
          <w:u w:val="none"/>
          <w:lang w:val="en-US" w:eastAsia="zh-CN"/>
        </w:rPr>
        <w:t>：</w:t>
      </w:r>
      <w:r>
        <w:rPr>
          <w:rFonts w:hint="eastAsia" w:ascii="仿宋_GB2312" w:hAnsi="仿宋_GB2312" w:cs="仿宋_GB2312"/>
          <w:color w:val="auto"/>
          <w:u w:val="none"/>
          <w:lang w:val="en-US" w:eastAsia="zh-CN"/>
        </w:rPr>
        <w:t>机关各科室及二级机构</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640" w:firstLineChars="200"/>
        <w:textAlignment w:val="auto"/>
        <w:rPr>
          <w:rFonts w:hint="default" w:ascii="仿宋_GB2312" w:hAnsi="仿宋_GB2312" w:cs="仿宋_GB2312"/>
          <w:color w:val="auto"/>
          <w:u w:val="none"/>
          <w:lang w:val="en-US" w:eastAsia="zh-CN"/>
        </w:rPr>
      </w:pPr>
      <w:r>
        <w:rPr>
          <w:rFonts w:hint="default" w:ascii="仿宋_GB2312" w:hAnsi="仿宋_GB2312" w:cs="仿宋_GB2312"/>
          <w:color w:val="auto"/>
          <w:u w:val="none"/>
          <w:lang w:val="en-US" w:eastAsia="zh-CN"/>
        </w:rPr>
        <w:t>负责提出专项整治具体实施方案，做好任务分解和推进落实工作；负责</w:t>
      </w:r>
      <w:r>
        <w:rPr>
          <w:rFonts w:hint="eastAsia" w:ascii="仿宋_GB2312" w:hAnsi="仿宋_GB2312" w:cs="仿宋_GB2312"/>
          <w:color w:val="auto"/>
          <w:u w:val="none"/>
          <w:lang w:val="en-US" w:eastAsia="zh-CN"/>
        </w:rPr>
        <w:t>制定</w:t>
      </w:r>
      <w:r>
        <w:rPr>
          <w:rFonts w:hint="default" w:ascii="仿宋_GB2312" w:hAnsi="仿宋_GB2312" w:cs="仿宋_GB2312"/>
          <w:color w:val="auto"/>
          <w:u w:val="none"/>
          <w:lang w:val="en-US" w:eastAsia="zh-CN"/>
        </w:rPr>
        <w:t>专项整治任务台账，及时了解掌握进展情况，分析存在的突出问题，提出具体指导意见；负责专项活动和工作机制建设的组织协调，做好与市委领导小组</w:t>
      </w:r>
      <w:r>
        <w:rPr>
          <w:rFonts w:hint="eastAsia" w:ascii="仿宋_GB2312" w:hAnsi="仿宋_GB2312" w:cs="仿宋_GB2312"/>
          <w:color w:val="auto"/>
          <w:u w:val="none"/>
          <w:lang w:val="en-US" w:eastAsia="zh-CN"/>
        </w:rPr>
        <w:t>办公室</w:t>
      </w:r>
      <w:r>
        <w:rPr>
          <w:rFonts w:hint="default" w:ascii="仿宋_GB2312" w:hAnsi="仿宋_GB2312" w:cs="仿宋_GB2312"/>
          <w:color w:val="auto"/>
          <w:u w:val="none"/>
          <w:lang w:val="en-US" w:eastAsia="zh-CN"/>
        </w:rPr>
        <w:t>专项整治</w:t>
      </w:r>
      <w:r>
        <w:rPr>
          <w:rFonts w:hint="eastAsia" w:ascii="仿宋_GB2312" w:hAnsi="仿宋_GB2312" w:cs="仿宋_GB2312"/>
          <w:color w:val="auto"/>
          <w:u w:val="none"/>
          <w:lang w:val="en-US" w:eastAsia="zh-CN"/>
        </w:rPr>
        <w:t>组</w:t>
      </w:r>
      <w:r>
        <w:rPr>
          <w:rFonts w:hint="default" w:ascii="仿宋_GB2312" w:hAnsi="仿宋_GB2312" w:cs="仿宋_GB2312"/>
          <w:color w:val="auto"/>
          <w:u w:val="none"/>
          <w:lang w:val="en-US" w:eastAsia="zh-CN"/>
        </w:rPr>
        <w:t>的沟通对接；负责汇总形成专项整治推进情况及分析研判报告，组织召开专项整治工作调度通报会，汇总相关工作情况并呈报办公室；完成领导小组及办公室交办的其他工作。</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b/>
          <w:bCs/>
          <w:color w:val="auto"/>
          <w:u w:val="none"/>
          <w:lang w:val="en-US" w:eastAsia="zh-CN"/>
        </w:rPr>
      </w:pPr>
      <w:r>
        <w:rPr>
          <w:rFonts w:hint="eastAsia" w:ascii="仿宋_GB2312" w:hAnsi="仿宋_GB2312" w:cs="仿宋_GB2312"/>
          <w:b/>
          <w:bCs/>
          <w:color w:val="auto"/>
          <w:u w:val="none"/>
          <w:lang w:val="en-US" w:eastAsia="zh-CN"/>
        </w:rPr>
        <w:t>3.</w:t>
      </w:r>
      <w:r>
        <w:rPr>
          <w:rFonts w:hint="default" w:ascii="仿宋_GB2312" w:hAnsi="仿宋_GB2312" w:cs="仿宋_GB2312"/>
          <w:b/>
          <w:bCs/>
          <w:color w:val="auto"/>
          <w:u w:val="none"/>
          <w:lang w:val="en-US" w:eastAsia="zh-CN"/>
        </w:rPr>
        <w:t>指导组</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default" w:ascii="仿宋_GB2312" w:hAnsi="仿宋_GB2312" w:cs="仿宋_GB2312"/>
          <w:color w:val="auto"/>
          <w:u w:val="none"/>
          <w:lang w:val="en-US" w:eastAsia="zh-CN"/>
        </w:rPr>
        <w:t>组长：</w:t>
      </w:r>
      <w:r>
        <w:rPr>
          <w:rFonts w:hint="eastAsia" w:ascii="仿宋_GB2312" w:hAnsi="仿宋_GB2312" w:cs="仿宋_GB2312"/>
          <w:color w:val="auto"/>
          <w:u w:val="none"/>
          <w:lang w:val="en-US" w:eastAsia="zh-CN"/>
        </w:rPr>
        <w:t>局班子成员</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0" w:firstLineChars="0"/>
        <w:textAlignment w:val="auto"/>
        <w:rPr>
          <w:rFonts w:hint="default" w:ascii="仿宋_GB2312" w:hAnsi="仿宋_GB2312" w:cs="仿宋_GB2312"/>
          <w:color w:val="auto"/>
          <w:u w:val="none"/>
          <w:lang w:val="en-US" w:eastAsia="zh-CN"/>
        </w:rPr>
      </w:pPr>
      <w:r>
        <w:rPr>
          <w:rFonts w:hint="default" w:ascii="仿宋_GB2312" w:hAnsi="仿宋_GB2312" w:cs="仿宋_GB2312"/>
          <w:color w:val="auto"/>
          <w:u w:val="none"/>
          <w:lang w:val="en-US" w:eastAsia="zh-CN"/>
        </w:rPr>
        <w:t>成员：</w:t>
      </w:r>
      <w:r>
        <w:rPr>
          <w:rFonts w:hint="eastAsia" w:ascii="仿宋_GB2312" w:hAnsi="仿宋_GB2312" w:cs="仿宋_GB2312"/>
          <w:color w:val="auto"/>
          <w:u w:val="none"/>
          <w:lang w:val="en-US" w:eastAsia="zh-CN"/>
        </w:rPr>
        <w:t>科室</w:t>
      </w:r>
      <w:r>
        <w:rPr>
          <w:rFonts w:hint="default" w:ascii="仿宋_GB2312" w:hAnsi="仿宋_GB2312" w:cs="仿宋_GB2312"/>
          <w:color w:val="auto"/>
          <w:u w:val="none"/>
          <w:lang w:val="en-US" w:eastAsia="zh-CN"/>
        </w:rPr>
        <w:t>负责人</w:t>
      </w:r>
    </w:p>
    <w:p>
      <w:pPr>
        <w:keepNext w:val="0"/>
        <w:keepLines w:val="0"/>
        <w:pageBreakBefore w:val="0"/>
        <w:widowControl w:val="0"/>
        <w:kinsoku/>
        <w:wordWrap w:val="0"/>
        <w:overflowPunct/>
        <w:topLinePunct w:val="0"/>
        <w:autoSpaceDE/>
        <w:autoSpaceDN/>
        <w:bidi w:val="0"/>
        <w:adjustRightInd/>
        <w:snapToGrid/>
        <w:spacing w:line="560" w:lineRule="exact"/>
        <w:ind w:left="646" w:leftChars="202" w:firstLine="640" w:firstLineChars="200"/>
        <w:textAlignment w:val="auto"/>
        <w:rPr>
          <w:rFonts w:hint="default" w:ascii="仿宋_GB2312" w:hAnsi="仿宋_GB2312" w:cs="仿宋_GB2312"/>
          <w:color w:val="auto"/>
          <w:u w:val="none"/>
          <w:lang w:val="en-US" w:eastAsia="zh-CN"/>
        </w:rPr>
      </w:pPr>
      <w:r>
        <w:rPr>
          <w:rFonts w:hint="default" w:ascii="仿宋_GB2312" w:hAnsi="仿宋_GB2312" w:cs="仿宋_GB2312"/>
          <w:color w:val="auto"/>
          <w:u w:val="none"/>
          <w:lang w:val="en-US" w:eastAsia="zh-CN"/>
        </w:rPr>
        <w:t>负责了解掌握主题教育进展情况，及时总结归纳</w:t>
      </w:r>
      <w:r>
        <w:rPr>
          <w:rFonts w:hint="eastAsia" w:ascii="仿宋_GB2312" w:hAnsi="仿宋_GB2312" w:cs="仿宋_GB2312"/>
          <w:color w:val="auto"/>
          <w:u w:val="none"/>
          <w:lang w:val="en-US" w:eastAsia="zh-CN"/>
        </w:rPr>
        <w:t>联系单位</w:t>
      </w:r>
      <w:r>
        <w:rPr>
          <w:rFonts w:hint="default" w:ascii="仿宋_GB2312" w:hAnsi="仿宋_GB2312" w:cs="仿宋_GB2312"/>
          <w:color w:val="auto"/>
          <w:u w:val="none"/>
          <w:lang w:val="en-US" w:eastAsia="zh-CN"/>
        </w:rPr>
        <w:t>的经验做法和亮点工作，全面分析存在的问题，提出指导意见；负责汇总形成主题教育推进情况及指导分析报告，汇总工作进展情况；完成领导小组交办的其他工作。</w:t>
      </w:r>
    </w:p>
    <w:p>
      <w:pPr>
        <w:keepNext w:val="0"/>
        <w:keepLines w:val="0"/>
        <w:pageBreakBefore w:val="0"/>
        <w:widowControl w:val="0"/>
        <w:kinsoku/>
        <w:overflowPunct/>
        <w:topLinePunct w:val="0"/>
        <w:autoSpaceDE/>
        <w:autoSpaceDN/>
        <w:bidi w:val="0"/>
        <w:spacing w:line="560" w:lineRule="exact"/>
        <w:textAlignment w:val="auto"/>
        <w:rPr>
          <w:rFonts w:hint="eastAsia" w:ascii="仿宋_GB2312" w:hAnsi="仿宋_GB2312" w:cs="仿宋_GB2312"/>
          <w:color w:val="auto"/>
          <w:u w:val="none"/>
          <w:lang w:val="en-US" w:eastAsia="zh-CN"/>
        </w:rPr>
      </w:pPr>
      <w:r>
        <w:rPr>
          <w:rFonts w:hint="eastAsia" w:ascii="仿宋_GB2312" w:hAnsi="仿宋_GB2312" w:cs="仿宋_GB2312"/>
          <w:color w:val="auto"/>
          <w:u w:val="none"/>
          <w:lang w:val="en-US" w:eastAsia="zh-CN"/>
        </w:rPr>
        <w:br w:type="page"/>
      </w:r>
    </w:p>
    <w:p>
      <w:pPr>
        <w:keepNext w:val="0"/>
        <w:keepLines w:val="0"/>
        <w:pageBreakBefore w:val="0"/>
        <w:widowControl w:val="0"/>
        <w:kinsoku/>
        <w:wordWrap w:val="0"/>
        <w:overflowPunct/>
        <w:topLinePunct w:val="0"/>
        <w:autoSpaceDE/>
        <w:autoSpaceDN/>
        <w:bidi w:val="0"/>
        <w:spacing w:line="560" w:lineRule="exact"/>
        <w:textAlignment w:val="auto"/>
        <w:rPr>
          <w:rFonts w:hint="default" w:ascii="仿宋_GB2312" w:hAnsi="仿宋_GB2312" w:cs="仿宋_GB2312"/>
          <w:color w:val="auto"/>
          <w:highlight w:val="yellow"/>
          <w:u w:val="none"/>
          <w:lang w:val="en-US" w:eastAsia="zh-CN"/>
        </w:rPr>
      </w:pPr>
      <w:r>
        <w:rPr>
          <w:rFonts w:hint="eastAsia" w:ascii="黑体" w:hAnsi="黑体" w:eastAsia="黑体" w:cs="黑体"/>
          <w:color w:val="auto"/>
          <w:u w:val="none"/>
          <w:lang w:val="en-US" w:eastAsia="zh-CN"/>
        </w:rPr>
        <w:t>注：</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u w:val="none"/>
          <w:lang w:val="en-US" w:eastAsia="zh-CN"/>
        </w:rPr>
        <w:t>①</w:t>
      </w:r>
      <w:r>
        <w:rPr>
          <w:rFonts w:hint="eastAsia" w:ascii="仿宋_GB2312" w:hAnsi="宋体" w:eastAsia="仿宋_GB2312" w:cs="仿宋_GB2312"/>
          <w:b/>
          <w:bCs/>
          <w:i w:val="0"/>
          <w:caps w:val="0"/>
          <w:color w:val="auto"/>
          <w:spacing w:val="0"/>
          <w:sz w:val="32"/>
          <w:szCs w:val="32"/>
          <w:u w:val="none"/>
        </w:rPr>
        <w:t>“五转”“五带头”</w:t>
      </w:r>
      <w:r>
        <w:rPr>
          <w:rFonts w:hint="eastAsia" w:ascii="仿宋_GB2312" w:hAnsi="宋体" w:cs="仿宋_GB2312"/>
          <w:b/>
          <w:bCs/>
          <w:i w:val="0"/>
          <w:caps w:val="0"/>
          <w:color w:val="auto"/>
          <w:spacing w:val="0"/>
          <w:sz w:val="32"/>
          <w:szCs w:val="32"/>
          <w:u w:val="none"/>
          <w:lang w:eastAsia="zh-CN"/>
        </w:rPr>
        <w:t>：</w:t>
      </w:r>
      <w:r>
        <w:rPr>
          <w:rFonts w:hint="eastAsia" w:ascii="仿宋_GB2312" w:hAnsi="仿宋_GB2312" w:eastAsia="仿宋_GB2312" w:cs="仿宋_GB2312"/>
          <w:color w:val="auto"/>
          <w:u w:val="none"/>
          <w:lang w:val="en-US" w:eastAsia="zh-CN"/>
        </w:rPr>
        <w:t>“五转”，即转学风、转政绩观、转权责观、转领导方式、转工作方法，其实质是从形式主义的惯性思维、虚头巴脑的不良作风中跳出来，求真务实、真抓实干；“五带头”，即带头把学习习近平新时代中国特色社会主义思想和党的十九大精神引向深入，带头树立正确政绩观，带头转变思维方式、工作方式，带头树立良好形象，带头为基层松绑减负，其目的是从省委及各级领导机关做起，从各级领导干部做起，一级带着一级干，一级做给一级看，标本兼治解决形式主义突出问题。</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highlight w:val="none"/>
          <w:u w:val="none"/>
          <w:lang w:val="en-US" w:eastAsia="zh-CN"/>
        </w:rPr>
        <w:t>②</w:t>
      </w:r>
      <w:r>
        <w:rPr>
          <w:rFonts w:hint="eastAsia" w:ascii="仿宋_GB2312" w:hAnsi="宋体" w:eastAsia="仿宋_GB2312" w:cs="仿宋_GB2312"/>
          <w:b/>
          <w:bCs/>
          <w:i w:val="0"/>
          <w:caps w:val="0"/>
          <w:color w:val="auto"/>
          <w:spacing w:val="0"/>
          <w:sz w:val="32"/>
          <w:szCs w:val="32"/>
          <w:highlight w:val="none"/>
          <w:u w:val="none"/>
        </w:rPr>
        <w:t>“五比五不比”</w:t>
      </w:r>
      <w:r>
        <w:rPr>
          <w:rFonts w:hint="eastAsia" w:ascii="仿宋_GB2312" w:hAnsi="宋体" w:cs="仿宋_GB2312"/>
          <w:b/>
          <w:bCs/>
          <w:i w:val="0"/>
          <w:caps w:val="0"/>
          <w:color w:val="auto"/>
          <w:spacing w:val="0"/>
          <w:sz w:val="32"/>
          <w:szCs w:val="32"/>
          <w:highlight w:val="none"/>
          <w:u w:val="none"/>
          <w:lang w:eastAsia="zh-CN"/>
        </w:rPr>
        <w:t>：</w:t>
      </w:r>
      <w:r>
        <w:rPr>
          <w:rFonts w:hint="eastAsia" w:ascii="仿宋_GB2312" w:hAnsi="宋体" w:cs="仿宋_GB2312"/>
          <w:b w:val="0"/>
          <w:i w:val="0"/>
          <w:caps w:val="0"/>
          <w:color w:val="auto"/>
          <w:spacing w:val="0"/>
          <w:sz w:val="32"/>
          <w:szCs w:val="32"/>
          <w:u w:val="none"/>
          <w:lang w:eastAsia="zh-CN"/>
        </w:rPr>
        <w:t>比谁对会议精神吃得更透、把握得更准，而不是比谁会开得快、材料报得早；比谁的增长点多，而不是比谁现在的亮点多；比谁的工作抓手多，而不是比谁的口号响、思路多；比领导班子的整体合力，而不是比领导干部的个人能力；比攻坚克难的战斗力，而不是比轰轰烈烈的大场面。</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u w:val="none"/>
          <w:lang w:val="en-US" w:eastAsia="zh-CN"/>
        </w:rPr>
        <w:t>③学习教育要做到“九个防止”：</w:t>
      </w:r>
      <w:r>
        <w:rPr>
          <w:rFonts w:hint="eastAsia" w:ascii="仿宋_GB2312" w:hAnsi="仿宋_GB2312" w:eastAsia="仿宋_GB2312" w:cs="仿宋_GB2312"/>
          <w:color w:val="auto"/>
          <w:u w:val="none"/>
          <w:lang w:val="en-US" w:eastAsia="zh-CN"/>
        </w:rPr>
        <w:t>防止以接受教育、集中学习代替个人自学；防止把听报告、看片子和理论辅导当成自学和研讨；防止理论学习“一阵子”、不走心；防止选择学、碎片学，抓住什么学什么；防止搞先进典型教育只请名气大的，忘记了身边典型最可学；防止对读书笔记、心得体会做出硬性规定；防止以业务培训代替学习教育；防止以业务研讨、工作交流代替学习研讨和思想碰撞；防止开展红色教育离开单位所在城市到外地。</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highlight w:val="none"/>
          <w:u w:val="none"/>
          <w:lang w:val="en-US" w:eastAsia="zh-CN"/>
        </w:rPr>
        <w:t>④调查研究要做到“九个防止”</w:t>
      </w:r>
      <w:r>
        <w:rPr>
          <w:rFonts w:hint="eastAsia" w:ascii="仿宋_GB2312" w:hAnsi="仿宋_GB2312" w:cs="仿宋_GB2312"/>
          <w:b/>
          <w:bCs/>
          <w:color w:val="auto"/>
          <w:highlight w:val="none"/>
          <w:u w:val="none"/>
          <w:lang w:val="en-US" w:eastAsia="zh-CN"/>
        </w:rPr>
        <w:t>：</w:t>
      </w:r>
      <w:r>
        <w:rPr>
          <w:rFonts w:hint="eastAsia" w:ascii="仿宋_GB2312" w:hAnsi="仿宋_GB2312" w:eastAsia="仿宋_GB2312" w:cs="仿宋_GB2312"/>
          <w:color w:val="auto"/>
          <w:u w:val="none"/>
          <w:lang w:val="en-US" w:eastAsia="zh-CN"/>
        </w:rPr>
        <w:t>防止“一阵风”式的扎堆调研，避免同一时间段扎堆下去，避免都到同一个地方、同一个单位；防止“只挂帅不出征”，以安排他人调研代替自己深入调研；防止提前踩点，事先“定盘子”；防止层层陪同，前呼后拥，走马观花、坐而论道，不深入群众；防止把调研当成检查工作，高高在上地指手画脚；防止调研材料找人“代笔”，体现不出自身研究思考；防止拿过去的调研成果充数、凑数；防止将调研材料只进行内部交流、汇编成册，没有转化为解决问题、推动工作的实际行动；防止上党课对着别人准备的稿子照本宣科，满口说教，不接地气。</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highlight w:val="none"/>
          <w:u w:val="none"/>
          <w:lang w:val="en-US" w:eastAsia="zh-CN"/>
        </w:rPr>
        <w:t>⑤检视问题要做到“五个防止”</w:t>
      </w:r>
      <w:r>
        <w:rPr>
          <w:rFonts w:hint="eastAsia" w:ascii="仿宋_GB2312" w:hAnsi="仿宋_GB2312" w:cs="仿宋_GB2312"/>
          <w:b/>
          <w:bCs/>
          <w:color w:val="auto"/>
          <w:highlight w:val="none"/>
          <w:u w:val="none"/>
          <w:lang w:val="en-US" w:eastAsia="zh-CN"/>
        </w:rPr>
        <w:t>：</w:t>
      </w:r>
      <w:r>
        <w:rPr>
          <w:rFonts w:hint="eastAsia" w:ascii="仿宋_GB2312" w:hAnsi="仿宋_GB2312" w:eastAsia="仿宋_GB2312" w:cs="仿宋_GB2312"/>
          <w:color w:val="auto"/>
          <w:u w:val="none"/>
          <w:lang w:val="en-US" w:eastAsia="zh-CN"/>
        </w:rPr>
        <w:t>防止听取意见不深入、不广泛，形式单一、应付了事；防止听取意见只到自己熟悉的群体去，只听“没有意见”的人的意见；防止谈心谈话走过场，以会议代替谈心谈话、集体谈话代替个别谈话、谈业务工作代替思想交流；防止检视问题大而化之、避重就轻，直接拿老问题、上级点的问题、班子的问题、其他人的问题、业务上的问题，作为自身检视反思出来的问题；防止问题清单搞官样文章，以细小问题掩盖重大问题，以边缘问题掩盖核心问题，以次要问题掩盖主要问题。</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highlight w:val="none"/>
          <w:u w:val="none"/>
          <w:lang w:val="en-US" w:eastAsia="zh-CN"/>
        </w:rPr>
        <w:t>⑥整改落实要做到“七个防止”</w:t>
      </w:r>
      <w:r>
        <w:rPr>
          <w:rFonts w:hint="eastAsia" w:ascii="仿宋_GB2312" w:hAnsi="仿宋_GB2312" w:cs="仿宋_GB2312"/>
          <w:b/>
          <w:bCs/>
          <w:color w:val="auto"/>
          <w:highlight w:val="none"/>
          <w:u w:val="none"/>
          <w:lang w:val="en-US" w:eastAsia="zh-CN"/>
        </w:rPr>
        <w:t>：</w:t>
      </w:r>
      <w:r>
        <w:rPr>
          <w:rFonts w:hint="eastAsia" w:ascii="仿宋_GB2312" w:hAnsi="仿宋_GB2312" w:eastAsia="仿宋_GB2312" w:cs="仿宋_GB2312"/>
          <w:color w:val="auto"/>
          <w:u w:val="none"/>
          <w:lang w:val="en-US" w:eastAsia="zh-CN"/>
        </w:rPr>
        <w:t>防止等待观望思想，等着上面安排部署，不督促不整改；防止有选择性地整改，避重就轻、避实就虚，有意绕过“痛点”和“难点”；防止台账整改、材料整改，以文字游戏代替整改落实的具体行动；防止整改简单就事论事，仅制定“当下改”的举措，没有形成长效机制；防止简单问责基层干部代替责任落实；防止民主生活会质量不高，没有“真刀真枪”开展批评与自我批评，达不到红脸出汗、排毒治病的好效果；防止应付过关思想，开展效果评估走形式。</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u w:val="none"/>
          <w:lang w:val="en-US" w:eastAsia="zh-CN"/>
        </w:rPr>
        <w:t>⑦“三亮三展”</w:t>
      </w:r>
      <w:r>
        <w:rPr>
          <w:rFonts w:hint="eastAsia" w:ascii="仿宋_GB2312" w:hAnsi="仿宋_GB2312" w:cs="仿宋_GB2312"/>
          <w:b/>
          <w:bCs/>
          <w:color w:val="auto"/>
          <w:u w:val="none"/>
          <w:lang w:val="en-US" w:eastAsia="zh-CN"/>
        </w:rPr>
        <w:t>：</w:t>
      </w:r>
      <w:r>
        <w:rPr>
          <w:rFonts w:hint="eastAsia" w:ascii="仿宋_GB2312" w:hAnsi="仿宋_GB2312" w:eastAsia="仿宋_GB2312" w:cs="仿宋_GB2312"/>
          <w:color w:val="auto"/>
          <w:u w:val="none"/>
          <w:lang w:val="en-US" w:eastAsia="zh-CN"/>
        </w:rPr>
        <w:t>亮承诺、展作风；亮身份、展形象；亮职责、展服务。</w:t>
      </w:r>
    </w:p>
    <w:p>
      <w:pPr>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cs="仿宋_GB2312"/>
          <w:color w:val="auto"/>
          <w:u w:val="none"/>
          <w:lang w:val="en-US" w:eastAsia="zh-CN"/>
        </w:rPr>
      </w:pPr>
      <w:r>
        <w:rPr>
          <w:rFonts w:hint="eastAsia" w:ascii="仿宋_GB2312" w:hAnsi="仿宋_GB2312" w:eastAsia="仿宋_GB2312" w:cs="仿宋_GB2312"/>
          <w:b/>
          <w:bCs/>
          <w:color w:val="auto"/>
          <w:u w:val="none"/>
          <w:lang w:val="en-US" w:eastAsia="zh-CN"/>
        </w:rPr>
        <w:t>⑧“一编三定”</w:t>
      </w:r>
      <w:r>
        <w:rPr>
          <w:rFonts w:hint="eastAsia" w:ascii="仿宋_GB2312" w:hAnsi="仿宋_GB2312" w:cs="仿宋_GB2312"/>
          <w:b/>
          <w:bCs/>
          <w:color w:val="auto"/>
          <w:u w:val="none"/>
          <w:lang w:val="en-US" w:eastAsia="zh-CN"/>
        </w:rPr>
        <w:t>：</w:t>
      </w:r>
      <w:r>
        <w:rPr>
          <w:rFonts w:hint="eastAsia" w:ascii="仿宋_GB2312" w:hAnsi="仿宋_GB2312" w:cs="仿宋_GB2312"/>
          <w:color w:val="auto"/>
          <w:u w:val="none"/>
          <w:lang w:val="en-US" w:eastAsia="zh-CN"/>
        </w:rPr>
        <w:t>“一编”</w:t>
      </w:r>
      <w:r>
        <w:rPr>
          <w:rFonts w:hint="eastAsia" w:ascii="仿宋_GB2312" w:hAnsi="仿宋_GB2312" w:cs="仿宋_GB2312"/>
          <w:color w:val="auto"/>
          <w:highlight w:val="none"/>
          <w:u w:val="none"/>
          <w:lang w:val="en-US" w:eastAsia="zh-CN"/>
        </w:rPr>
        <w:t>即编员进</w:t>
      </w:r>
      <w:r>
        <w:rPr>
          <w:rFonts w:hint="eastAsia" w:ascii="仿宋_GB2312" w:hAnsi="仿宋_GB2312" w:cs="仿宋_GB2312"/>
          <w:color w:val="auto"/>
          <w:u w:val="none"/>
          <w:lang w:val="en-US" w:eastAsia="zh-CN"/>
        </w:rPr>
        <w:t>组。“三定”即定岗位、定责任、定奖惩。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EE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2019-09-20T00:36:11Z</dcterms:created>
  <dc:creator>Administrator</dc:creator>
  <cp:lastModifiedBy>Administrator</cp:lastModifiedBy>
  <dcterms:modified xsi:type="dcterms:W3CDTF">2019-09-20T00:41:21Z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