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仿宋_GB2312" w:hAnsi="宋体"/>
          <w:bCs/>
          <w:color w:val="000000"/>
        </w:rPr>
      </w:pPr>
      <w:bookmarkStart w:id="0" w:name="_GoBack"/>
      <w:bookmarkEnd w:id="0"/>
      <w:r>
        <w:rPr>
          <w:rFonts w:hint="eastAsia" w:ascii="仿宋_GB2312" w:hAnsi="宋体"/>
          <w:bCs/>
          <w:color w:val="000000"/>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80010</wp:posOffset>
                </wp:positionV>
                <wp:extent cx="5170170" cy="768350"/>
                <wp:effectExtent l="4445" t="4445" r="6985" b="19685"/>
                <wp:wrapNone/>
                <wp:docPr id="13" name="文本框 13"/>
                <wp:cNvGraphicFramePr/>
                <a:graphic xmlns:a="http://schemas.openxmlformats.org/drawingml/2006/main">
                  <a:graphicData uri="http://schemas.microsoft.com/office/word/2010/wordprocessingShape">
                    <wps:wsp>
                      <wps:cNvSpPr txBox="1"/>
                      <wps:spPr>
                        <a:xfrm>
                          <a:off x="0" y="0"/>
                          <a:ext cx="5170170" cy="7683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jc w:val="distribute"/>
                              <w:rPr>
                                <w:rFonts w:hint="eastAsia" w:ascii="方正小标宋简体" w:eastAsia="方正小标宋简体"/>
                                <w:color w:val="FF0000"/>
                                <w:w w:val="80"/>
                                <w:sz w:val="80"/>
                                <w:szCs w:val="80"/>
                              </w:rPr>
                            </w:pPr>
                            <w:r>
                              <w:rPr>
                                <w:rFonts w:hint="eastAsia" w:ascii="方正小标宋简体" w:eastAsia="方正小标宋简体"/>
                                <w:color w:val="FF0000"/>
                                <w:w w:val="80"/>
                                <w:sz w:val="80"/>
                                <w:szCs w:val="80"/>
                              </w:rPr>
                              <w:t>河南省教育厅处室函件</w:t>
                            </w:r>
                          </w:p>
                        </w:txbxContent>
                      </wps:txbx>
                      <wps:bodyPr upright="1"/>
                    </wps:wsp>
                  </a:graphicData>
                </a:graphic>
              </wp:anchor>
            </w:drawing>
          </mc:Choice>
          <mc:Fallback>
            <w:pict>
              <v:shape id="_x0000_s1026" o:spid="_x0000_s1026" o:spt="202" type="#_x0000_t202" style="position:absolute;left:0pt;margin-left:15.5pt;margin-top:6.3pt;height:60.5pt;width:407.1pt;z-index:251658240;mso-width-relative:page;mso-height-relative:page;" fillcolor="#FFFFFF" filled="t" stroked="t" coordsize="21600,21600" o:gfxdata="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zcwX1wAAAAkBAAAPAAAAAAAAAAEAIAAAACIAAABkcnMvZG93bnJldi54bWxQSwECFAAUAAAA&#10;CACHTuJASgGNuO8BAADqAwAADgAAAAAAAAABACAAAAAmAQAAZHJzL2Uyb0RvYy54bWxQSwUGAAAA&#10;AAYABgBZAQAAhwUAAAAA&#10;">
                <v:fill on="t" focussize="0,0"/>
                <v:stroke color="#FFFFFF" joinstyle="miter"/>
                <v:imagedata o:title=""/>
                <o:lock v:ext="edit" aspectratio="f"/>
                <v:textbox>
                  <w:txbxContent>
                    <w:p>
                      <w:pPr>
                        <w:snapToGrid w:val="0"/>
                        <w:jc w:val="distribute"/>
                        <w:rPr>
                          <w:rFonts w:hint="eastAsia" w:ascii="方正小标宋简体" w:eastAsia="方正小标宋简体"/>
                          <w:color w:val="FF0000"/>
                          <w:w w:val="80"/>
                          <w:sz w:val="80"/>
                          <w:szCs w:val="80"/>
                        </w:rPr>
                      </w:pPr>
                      <w:r>
                        <w:rPr>
                          <w:rFonts w:hint="eastAsia" w:ascii="方正小标宋简体" w:eastAsia="方正小标宋简体"/>
                          <w:color w:val="FF0000"/>
                          <w:w w:val="80"/>
                          <w:sz w:val="80"/>
                          <w:szCs w:val="80"/>
                        </w:rPr>
                        <w:t>河南省教育厅处室函件</w:t>
                      </w:r>
                    </w:p>
                  </w:txbxContent>
                </v:textbox>
              </v:shape>
            </w:pict>
          </mc:Fallback>
        </mc:AlternateContent>
      </w:r>
    </w:p>
    <w:p>
      <w:pPr>
        <w:jc w:val="center"/>
        <w:rPr>
          <w:rFonts w:hint="eastAsia" w:ascii="仿宋_GB2312" w:hAnsi="宋体"/>
          <w:bCs/>
          <w:color w:val="000000"/>
        </w:rPr>
      </w:pPr>
    </w:p>
    <w:p>
      <w:pPr>
        <w:jc w:val="center"/>
        <w:rPr>
          <w:rFonts w:hint="eastAsia" w:ascii="仿宋_GB2312" w:hAnsi="宋体"/>
          <w:bCs/>
          <w:color w:val="000000"/>
        </w:rPr>
      </w:pPr>
    </w:p>
    <w:p>
      <w:pPr>
        <w:jc w:val="center"/>
        <w:rPr>
          <w:rFonts w:hint="eastAsia" w:ascii="仿宋_GB2312" w:hAnsi="宋体"/>
          <w:bCs/>
          <w:color w:val="000000"/>
        </w:rPr>
      </w:pPr>
      <w:r>
        <w:rPr>
          <w:rFonts w:hint="eastAsia" w:ascii="仿宋_GB2312" w:hAnsi="宋体"/>
          <w:bCs/>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104140</wp:posOffset>
                </wp:positionV>
                <wp:extent cx="5511800" cy="0"/>
                <wp:effectExtent l="0" t="31750" r="5080" b="44450"/>
                <wp:wrapNone/>
                <wp:docPr id="1" name="直接连接符 1"/>
                <wp:cNvGraphicFramePr/>
                <a:graphic xmlns:a="http://schemas.openxmlformats.org/drawingml/2006/main">
                  <a:graphicData uri="http://schemas.microsoft.com/office/word/2010/wordprocessingShape">
                    <wps:wsp>
                      <wps:cNvCnPr/>
                      <wps:spPr>
                        <a:xfrm>
                          <a:off x="0" y="0"/>
                          <a:ext cx="5511800" cy="0"/>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2pt;height:0pt;width:434pt;z-index:251659264;mso-width-relative:page;mso-height-relative:page;" filled="f" stroked="t" coordsize="21600,21600" o:gfxdata="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YnoqfQAAAABgEAAA8AAAAAAAAA&#10;AQAgAAAAIgAAAGRycy9kb3ducmV2LnhtbFBLAQIUABQAAAAIAIdO4kD4n2QB4AEAAJ0DAAAOAAAA&#10;AAAAAAEAIAAAAB8BAABkcnMvZTJvRG9jLnhtbFBLBQYAAAAABgAGAFkBAABxBQAAAAA=&#10;">
                <v:fill on="f" focussize="0,0"/>
                <v:stroke weight="5pt" color="#FF0000" linestyle="thickThin" joinstyle="round"/>
                <v:imagedata o:title=""/>
                <o:lock v:ext="edit" aspectratio="f"/>
              </v:line>
            </w:pict>
          </mc:Fallback>
        </mc:AlternateContent>
      </w:r>
    </w:p>
    <w:p>
      <w:pPr>
        <w:jc w:val="right"/>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教科技函〔2019〕</w:t>
      </w:r>
      <w:r>
        <w:rPr>
          <w:rFonts w:hint="eastAsia" w:asciiTheme="minorEastAsia" w:hAnsiTheme="minorEastAsia" w:eastAsiaTheme="minorEastAsia" w:cstheme="minorEastAsia"/>
          <w:bCs/>
          <w:color w:val="000000"/>
          <w:sz w:val="28"/>
          <w:szCs w:val="28"/>
          <w:lang w:val="en-US"/>
        </w:rPr>
        <w:t>534</w:t>
      </w:r>
      <w:r>
        <w:rPr>
          <w:rFonts w:hint="eastAsia" w:asciiTheme="minorEastAsia" w:hAnsiTheme="minorEastAsia" w:eastAsiaTheme="minorEastAsia" w:cstheme="minorEastAsia"/>
          <w:bCs/>
          <w:color w:val="000000"/>
          <w:sz w:val="28"/>
          <w:szCs w:val="28"/>
        </w:rPr>
        <w:t>号</w:t>
      </w:r>
    </w:p>
    <w:p>
      <w:pPr>
        <w:snapToGrid w:val="0"/>
        <w:jc w:val="center"/>
        <w:rPr>
          <w:rFonts w:hint="eastAsia" w:ascii="方正小标宋简体" w:hAnsi="宋体" w:eastAsia="方正小标宋简体"/>
          <w:bCs/>
          <w:color w:val="000000"/>
          <w:sz w:val="44"/>
          <w:szCs w:val="44"/>
        </w:rPr>
      </w:pP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河南省教育厅办公室</w:t>
      </w:r>
    </w:p>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hAnsi="方正小标宋简体" w:eastAsia="方正小标宋简体" w:cs="方正小标宋简体"/>
          <w:color w:val="000000"/>
          <w:kern w:val="0"/>
          <w:sz w:val="44"/>
          <w:szCs w:val="44"/>
          <w:lang w:val="en-US" w:eastAsia="zh-CN" w:bidi="ar"/>
        </w:rPr>
        <w:t>做好全国教育信息化工作管理信息</w:t>
      </w:r>
    </w:p>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auto"/>
      </w:pPr>
      <w:r>
        <w:rPr>
          <w:rFonts w:hint="eastAsia" w:ascii="方正小标宋简体" w:hAnsi="方正小标宋简体" w:eastAsia="方正小标宋简体" w:cs="方正小标宋简体"/>
          <w:color w:val="000000"/>
          <w:kern w:val="0"/>
          <w:sz w:val="44"/>
          <w:szCs w:val="44"/>
          <w:lang w:val="en-US" w:eastAsia="zh-CN" w:bidi="ar"/>
        </w:rPr>
        <w:t>系统填报工作的通知</w:t>
      </w:r>
    </w:p>
    <w:p>
      <w:pPr>
        <w:keepNext w:val="0"/>
        <w:keepLines w:val="0"/>
        <w:pageBreakBefore w:val="0"/>
        <w:kinsoku/>
        <w:wordWrap/>
        <w:overflowPunct/>
        <w:topLinePunct w:val="0"/>
        <w:autoSpaceDE/>
        <w:autoSpaceDN/>
        <w:bidi w:val="0"/>
        <w:adjustRightInd/>
        <w:spacing w:line="520" w:lineRule="exact"/>
        <w:textAlignment w:val="auto"/>
        <w:rPr>
          <w:rFonts w:hint="eastAsia" w:ascii="仿宋_GB2312"/>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ascii="仿宋_GB2312" w:hAnsi="宋体" w:eastAsia="仿宋_GB2312" w:cs="仿宋_GB2312"/>
          <w:color w:val="000000"/>
          <w:kern w:val="0"/>
          <w:sz w:val="30"/>
          <w:szCs w:val="30"/>
          <w:lang w:val="en-US" w:eastAsia="zh-CN" w:bidi="ar"/>
        </w:rPr>
        <w:t xml:space="preserve">各省辖市、省直管县（市）教育局，各高等学校，各省属中等职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业学校：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为提高全国教育信息化工作的管理效率和服务水平，教育部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将全国教育信息化工作进展信息系统（一期）升级为二期系统，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目前已正式上线运行。为做好二期系统数据填报和应用工作，现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就有关事项通知如下：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ascii="黑体" w:hAnsi="宋体" w:eastAsia="黑体" w:cs="黑体"/>
          <w:color w:val="000000"/>
          <w:kern w:val="0"/>
          <w:sz w:val="30"/>
          <w:szCs w:val="30"/>
          <w:lang w:val="en-US" w:eastAsia="zh-CN" w:bidi="ar"/>
        </w:rPr>
        <w:t xml:space="preserve">一、系统网址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http://jyxxh.emis.edu.cn。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黑体" w:hAnsi="宋体" w:eastAsia="黑体" w:cs="黑体"/>
          <w:color w:val="000000"/>
          <w:kern w:val="0"/>
          <w:sz w:val="30"/>
          <w:szCs w:val="30"/>
          <w:lang w:val="en-US" w:eastAsia="zh-CN" w:bidi="ar"/>
        </w:rPr>
        <w:t xml:space="preserve">二、填报范围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县两级教育行政部门，各级各类学校（包括高等学校、中职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学校、中小学校）。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工作流程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（一）建立工作联络机制，明确责任人。各市县教育行政部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门、各级各类学校要明确专门部门和人员负责系统数据填报、维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护和审核工作。由省教育厅牵头，建立省市县三级系统管理员联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络机制；由县级教育行政部门牵头，建立县校两级联动协调机制。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（二）分发账号。由省教育厅分发各省辖市、省直管县（市）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教育局，各高等学校、各省属中等职业学校账号；由各市县按属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地管理原则，分发中职学校和中小学校账号。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（三）构建数据更新维护长效机制。各地按照《全国教育信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息化工作管理信息系统管理办法（试行）》（见附件 1）要求，县级教育行政部门每季度首月1日至5日审核上报上季度数据，地市级教育行政部门每季度首月 6日至 10日审核上报上季度数据。各级各类学校做到数据有变动即更新，确保“系统”及时准确反映全省教育信息化现状。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黑体" w:hAnsi="宋体" w:eastAsia="黑体" w:cs="黑体"/>
          <w:color w:val="000000"/>
          <w:kern w:val="0"/>
          <w:sz w:val="30"/>
          <w:szCs w:val="30"/>
          <w:lang w:val="en-US" w:eastAsia="zh-CN" w:bidi="ar"/>
        </w:rPr>
        <w:t xml:space="preserve">四、其他事项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（一）关于数据同步问题。二期系统为学校用户提供了与一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期系统的账号关联功能，完成账号匹配后，学校用户可使用一期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系统账户名作为账户别名登录二期系统，同步一期系统数据至二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期系统中。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（二）关于学校隶属关系问题。由于二期系统内学校和机构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以教育部“教育基础信息数据库管理与服务系统”的共享数据为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基准，在新老系统数据对接过程中，可能会出现学校隶属关系不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准确或部分新建学校无帐号等问题。对于上述问题，各市县级系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统管理员要及时反映，以便统筹解决。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黑体" w:hAnsi="宋体" w:eastAsia="黑体" w:cs="黑体"/>
          <w:color w:val="000000"/>
          <w:kern w:val="0"/>
          <w:sz w:val="30"/>
          <w:szCs w:val="30"/>
          <w:lang w:val="en-US" w:eastAsia="zh-CN" w:bidi="ar"/>
        </w:rPr>
        <w:t xml:space="preserve">五、工作要求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（一）加强系统功能学习。二期系统指标更加宽泛、功能更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加丰富，各地教育行政部门、各级各类学校相关负责人要尽快熟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悉系统操作方法，提高系统使用效率。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（二）加快数据填报进程。各市县教育行政部门应于 11 月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15 日前建立起工作联络机制，确保学校账号分配到位；11月底前， 基本完成所有学校数据填报工作。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（三）保证数据质量。各级教育行政部门和各级各类学校在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填报数据时，务必实事求是，客观展示学校和区域教育信息化建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设现状。对于把握不准的填报事项，请及时向上级系统管理员反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映。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（四）加强业务沟通。各省辖市、省直管县（市）教育行政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部门、各高等学校、各省属中等职业学校于 11 月 8 日前将《全国 教育信息化工作管理信息系统负责人回执表》（附件 2）反馈至省 电教馆（通过邮件发送扫描件和电子版），并同时加入二期系统管理员群（QQ 群号：665995760，申请时备注所在单位及姓名）。各单位在填报过程中出现困难和问题，请及时在群内沟通解决。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联系方式：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省电教馆 许恒娟 0371-66329808 hndjxtb@163.com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厅科学技术与信息化处 朱苗 0371-69691286</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附件：1.全国教育信息化工作管理信息系统管理办法（试行）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1500" w:firstLineChars="500"/>
        <w:jc w:val="left"/>
        <w:textAlignment w:val="auto"/>
      </w:pPr>
      <w:r>
        <w:rPr>
          <w:rFonts w:hint="eastAsia" w:ascii="仿宋_GB2312" w:hAnsi="宋体" w:eastAsia="仿宋_GB2312" w:cs="仿宋_GB2312"/>
          <w:color w:val="000000"/>
          <w:kern w:val="0"/>
          <w:sz w:val="30"/>
          <w:szCs w:val="30"/>
          <w:lang w:val="en-US" w:eastAsia="zh-CN" w:bidi="ar"/>
        </w:rPr>
        <w:t xml:space="preserve">2.全国教育信息化工作管理信息系统负责人回执表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500" w:firstLineChars="1500"/>
        <w:jc w:val="left"/>
        <w:textAlignment w:val="auto"/>
      </w:pPr>
      <w:r>
        <w:rPr>
          <w:rFonts w:hint="eastAsia" w:ascii="仿宋_GB2312" w:hAnsi="宋体" w:eastAsia="仿宋_GB2312" w:cs="仿宋_GB2312"/>
          <w:color w:val="000000"/>
          <w:kern w:val="0"/>
          <w:sz w:val="30"/>
          <w:szCs w:val="30"/>
          <w:lang w:val="en-US" w:eastAsia="zh-CN" w:bidi="ar"/>
        </w:rPr>
        <w:t xml:space="preserve">2019 年 11 月 1 日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pPr>
      <w:r>
        <w:rPr>
          <w:rFonts w:hint="eastAsia" w:ascii="仿宋_GB2312" w:hAnsi="宋体" w:eastAsia="仿宋_GB2312" w:cs="仿宋_GB2312"/>
          <w:color w:val="000000"/>
          <w:kern w:val="0"/>
          <w:sz w:val="30"/>
          <w:szCs w:val="30"/>
          <w:lang w:val="en-US" w:eastAsia="zh-CN" w:bidi="ar"/>
        </w:rPr>
        <w:t xml:space="preserve">（主动公开）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黑体" w:hAnsi="宋体" w:eastAsia="黑体" w:cs="黑体"/>
          <w:color w:val="000000"/>
          <w:kern w:val="0"/>
          <w:sz w:val="30"/>
          <w:szCs w:val="30"/>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全国教育信息化工作管理信息系统管理办法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ascii="楷体_GB2312" w:hAnsi="楷体_GB2312" w:eastAsia="楷体_GB2312" w:cs="楷体_GB2312"/>
          <w:color w:val="000000"/>
          <w:kern w:val="0"/>
          <w:sz w:val="30"/>
          <w:szCs w:val="30"/>
          <w:lang w:val="en-US" w:eastAsia="zh-CN" w:bidi="ar"/>
        </w:rPr>
        <w:t>（试行）</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color w:val="000000"/>
          <w:kern w:val="0"/>
          <w:sz w:val="30"/>
          <w:szCs w:val="30"/>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第一条 为进一步发挥“全国教育信息化工作管理信息系统”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(以下简称系统）的作用，规范系统应用和数据管理工作，切实提高数据的时效性、准确性和权威性，特制定此办法。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第二条 本办法适用于各级教育行政部门和各级各类学校、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教学点等系统的用户。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第三条 系统数据管理工作按照“分级负责、逐级审核、定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期更新”的原则进行。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第四条 本办法所称的数据管理包括：数据填报、数据审核、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数据上报、数据更新和数据统计查看分析等各个环节。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00" w:firstLineChars="100"/>
        <w:jc w:val="center"/>
        <w:textAlignment w:val="auto"/>
      </w:pPr>
      <w:r>
        <w:rPr>
          <w:rFonts w:hint="eastAsia" w:ascii="黑体" w:hAnsi="宋体" w:eastAsia="黑体" w:cs="黑体"/>
          <w:color w:val="000000"/>
          <w:kern w:val="0"/>
          <w:sz w:val="30"/>
          <w:szCs w:val="30"/>
          <w:lang w:val="en-US" w:eastAsia="zh-CN" w:bidi="ar"/>
        </w:rPr>
        <w:t>第二章 工作职责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第五条 教育部科技司是系统的主管单位，统筹负责系统的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建设、管理与应用，指导和督促各级用户做好系统应用和数据管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理工作。教育部教育管理信息中心和中央电教馆是系统的运维单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位，教育部教育管理信息中心负责基础软硬件、系统的技术运维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及安全保障，中央电教馆负责应用服务支撑和相关安全保障。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第六条 地方各级教育行政部门负责本地区的系统应用与数据管理，确定专人作为本级视察员、审核员和管理员，确定系统技术支持单位，指导和督促下一级教育行政部门和直属学校做好系统应用与数据管理工作。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第七条 高等学校确定专人作为本校视察员、审核员和管理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员，其他学校要确定专人作为管理员，负责按时完成本校数据的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填报与更新工作。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第八条 地方各级教育行政部门和高等学校的视察员由分管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教育信息化的领导担任，审核员由教育信息化职能处室负责人担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任，管理员由职能处室的相关同志担任。管理员负责本级数据的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填报与更新，下一级单位数据的催报与核查；审核员负责本级及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下一级单位数据的审核与上报；视察员负责视察系统应用和数据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管理工作。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color w:val="000000"/>
          <w:kern w:val="0"/>
          <w:sz w:val="30"/>
          <w:szCs w:val="30"/>
          <w:lang w:val="en-US" w:eastAsia="zh-CN" w:bidi="ar"/>
        </w:rPr>
        <w:t>第三章 基础信息管理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第九条 系统中地方各级教育行政部门信息的新增、修改和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撤并等更新，严格以教育部“教育基础信息数据库管理与服务系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统”共享的数据为依据，在系统中自动更新，不支持在系统中进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行人工操作。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第十条 系统中各级各类学校、教学点信息的新增、修改和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撤并等更新，严格以教育部“教育基础信息数据库管理与服务系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统”共享的学校机构代码数据为依据，在系统中自动更新，不支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持在系统中进行人工操作。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第十一条 系统中学校隶属关系变更时，由学校变更前和变更后所属教育行政部门的共同上级教育行政部门管理员在系统中进行维护；系统学校管理员可在系统中维护本校信息中“暂停招生”属性。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第十二条 教育部“教育基础信息数据库管理与服务系统”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数据共享频率为每季度共享一次。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color w:val="000000"/>
          <w:kern w:val="0"/>
          <w:sz w:val="30"/>
          <w:szCs w:val="30"/>
          <w:lang w:val="en-US" w:eastAsia="zh-CN" w:bidi="ar"/>
        </w:rPr>
        <w:t>第四章 账号管理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第十三条 地方各级教育行政部门和高等学校的视察员、审核员和管理员账号以及其他学校的管理员账号，统一由教育部生成和管理。各级教育行政部门和学校的账号按照隶属关系，由省级教育行政部门统筹负责逐级发放，部属高校的账号由教育部科技司组织发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第十四条 账号实行专人专号，实名登记。地方各级教育行政部门和学校用户须在系统中登录账号后填写人员信息。如遇人员变动，须及时在系统中更新人员变动信息，省级教育行政部门和部属高校的视察员、审核员和管理员如有变更，及时报送中央电教馆备案。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color w:val="000000"/>
          <w:kern w:val="0"/>
          <w:sz w:val="30"/>
          <w:szCs w:val="30"/>
          <w:lang w:val="en-US" w:eastAsia="zh-CN" w:bidi="ar"/>
        </w:rPr>
        <w:t>第五章 数据管理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第十五条 地方各级教育行政部门应按照系统要求填报本级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教育信息化相应的数据，并做到有变化即更新，无变化每季度确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第十六条 学校应按照系统要求填报本校教育信息化相应的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数据，并做到有变化即更新，无变化每季度确认。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第十七条 系统实行逐级按季度上报，填报数据以系统填报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表单为准。地方各级教育行政部门按审核程序对本地区所属上报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数据进行审核，由审核员在规定的时间内上报至上一级教育行政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部门。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第十八条 数据审核上报时间：区县级教育行政部门每季度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首月 1日至 5日审核上报上季度数据，地市级教育行政部门每季度首月 6日至 10日审核上报上季度数据，省级教育行政部门和部属高校每季度首月 11 日至 15 日审核上报上季度数据。如未在规定上报时间内上报数据，系统将按上报截至时间的现有数据自动上报。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第十九条 各单位审核上报数据后， 将无法再对数据进行修改。 如需修改，需向上一级教育行政部门提出撤报申请，经审核同意后，由上一级教育行政部门在系统内退回后，方可再对数据进行修改。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第二十条 地方各级教育行政部门对下一级单位上报的数据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有异议时，经沟通确认后，可由系统退回下一级单位，限时进行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修改并重新上报。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color w:val="000000"/>
          <w:kern w:val="0"/>
          <w:sz w:val="30"/>
          <w:szCs w:val="30"/>
          <w:lang w:val="en-US" w:eastAsia="zh-CN" w:bidi="ar"/>
        </w:rPr>
        <w:t>第六章 支持服务和数据安全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第二十一条 系统的各级技术支持单位应配合教育行政部门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0"/>
          <w:szCs w:val="30"/>
          <w:lang w:val="en-US" w:eastAsia="zh-CN" w:bidi="ar"/>
        </w:rPr>
        <w:t xml:space="preserve">做好系统应用和数据管理工作。教育部技术支持电话为 010-66090906。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第二十二条 系统的各级用户应高度重视系统的安全保障工作， 加强账号与密码的管理，建立数据管理制度，规范数据填报、审核、上报、更新等工作，做到合规、可追溯。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宋体" w:eastAsia="黑体" w:cs="黑体"/>
          <w:color w:val="000000"/>
          <w:kern w:val="0"/>
          <w:sz w:val="30"/>
          <w:szCs w:val="30"/>
          <w:lang w:val="en-US" w:eastAsia="zh-CN" w:bidi="ar"/>
        </w:rPr>
        <w:t>第七章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 xml:space="preserve">第二十三条 本办法由教育部科技司附则解释。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pPr>
      <w:r>
        <w:rPr>
          <w:rFonts w:hint="eastAsia" w:ascii="仿宋_GB2312" w:hAnsi="宋体" w:eastAsia="仿宋_GB2312" w:cs="仿宋_GB2312"/>
          <w:color w:val="000000"/>
          <w:kern w:val="0"/>
          <w:sz w:val="30"/>
          <w:szCs w:val="30"/>
          <w:lang w:val="en-US" w:eastAsia="zh-CN" w:bidi="ar"/>
        </w:rPr>
        <w:t>第二十四条 本办法自印发之日起实施</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sectPr>
          <w:footerReference r:id="rId3" w:type="default"/>
          <w:pgSz w:w="11906" w:h="16838"/>
          <w:pgMar w:top="2098" w:right="1474" w:bottom="1984" w:left="1587" w:header="0" w:footer="1587" w:gutter="0"/>
          <w:pgNumType w:fmt="numberInDash"/>
          <w:cols w:space="0" w:num="1"/>
          <w:rtlGutter w:val="0"/>
          <w:docGrid w:type="lines" w:linePitch="44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黑体" w:hAnsi="宋体" w:eastAsia="黑体" w:cs="黑体"/>
          <w:color w:val="000000"/>
          <w:kern w:val="0"/>
          <w:sz w:val="30"/>
          <w:szCs w:val="30"/>
          <w:lang w:val="en-US" w:eastAsia="zh-CN" w:bidi="ar"/>
        </w:rPr>
        <w:t>附件</w:t>
      </w:r>
      <w:r>
        <w:rPr>
          <w:rFonts w:hint="default" w:ascii="黑体" w:hAnsi="宋体" w:eastAsia="黑体" w:cs="黑体"/>
          <w:color w:val="000000"/>
          <w:kern w:val="0"/>
          <w:sz w:val="30"/>
          <w:szCs w:val="30"/>
          <w:lang w:val="en-US" w:eastAsia="zh-CN" w:bidi="ar"/>
        </w:rPr>
        <w:t>2</w:t>
      </w:r>
      <w:r>
        <w:rPr>
          <w:rFonts w:hint="eastAsia" w:ascii="黑体" w:hAnsi="宋体" w:eastAsia="黑体" w:cs="黑体"/>
          <w:color w:val="000000"/>
          <w:kern w:val="0"/>
          <w:sz w:val="30"/>
          <w:szCs w:val="30"/>
          <w:lang w:val="en-US" w:eastAsia="zh-CN" w:bidi="ar"/>
        </w:rPr>
        <w:t xml:space="preserve"> </w:t>
      </w: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全国教育信息化工作管理信息系统负责人回执表</w:t>
      </w:r>
    </w:p>
    <w:p>
      <w:pPr>
        <w:rPr>
          <w:rFonts w:hint="eastAsia" w:ascii="方正小标宋简体" w:eastAsia="方正小标宋简体"/>
          <w:sz w:val="44"/>
          <w:szCs w:val="44"/>
          <w:lang w:eastAsia="zh-CN"/>
        </w:rPr>
      </w:pPr>
      <w:r>
        <w:rPr>
          <w:rFonts w:hint="eastAsia" w:asciiTheme="majorEastAsia" w:hAnsiTheme="majorEastAsia" w:eastAsiaTheme="majorEastAsia" w:cstheme="majorEastAsia"/>
          <w:sz w:val="28"/>
          <w:szCs w:val="28"/>
          <w:lang w:eastAsia="zh-CN"/>
        </w:rPr>
        <w:t>教育行政部门</w:t>
      </w:r>
      <w:r>
        <w:rPr>
          <w:rFonts w:hint="eastAsia" w:asciiTheme="majorEastAsia" w:hAnsiTheme="majorEastAsia" w:eastAsiaTheme="majorEastAsia" w:cstheme="majorEastAsia"/>
          <w:sz w:val="28"/>
          <w:szCs w:val="28"/>
          <w:lang w:val="en-US" w:eastAsia="zh-CN"/>
        </w:rPr>
        <w:t>/高校（盖章）：</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lang w:val="en-US" w:eastAsia="zh-CN"/>
        </w:rPr>
        <w:t xml:space="preserve">          填表日期： </w:t>
      </w:r>
      <w:r>
        <w:rPr>
          <w:rFonts w:hint="eastAsia" w:asciiTheme="majorEastAsia" w:hAnsiTheme="majorEastAsia" w:eastAsiaTheme="majorEastAsia" w:cstheme="majorEastAsia"/>
          <w:sz w:val="28"/>
          <w:szCs w:val="28"/>
          <w:u w:val="single"/>
          <w:lang w:val="en-US" w:eastAsia="zh-CN"/>
        </w:rPr>
        <w:t xml:space="preserve">       年      月     日    </w:t>
      </w:r>
      <w:r>
        <w:rPr>
          <w:rFonts w:hint="eastAsia" w:asciiTheme="majorEastAsia" w:hAnsiTheme="majorEastAsia" w:eastAsiaTheme="majorEastAsia" w:cstheme="majorEastAsia"/>
          <w:sz w:val="28"/>
          <w:szCs w:val="28"/>
          <w:lang w:val="en-US" w:eastAsia="zh-CN"/>
        </w:rPr>
        <w:t xml:space="preserve">  </w:t>
      </w:r>
      <w:r>
        <w:rPr>
          <w:rFonts w:hint="eastAsia"/>
          <w:u w:val="words"/>
          <w:lang w:val="en-US" w:eastAsia="zh-CN"/>
        </w:rPr>
        <w:t xml:space="preserve">         </w:t>
      </w:r>
    </w:p>
    <w:tbl>
      <w:tblPr>
        <w:tblStyle w:val="9"/>
        <w:tblpPr w:leftFromText="180" w:rightFromText="180" w:vertAnchor="text" w:horzAnchor="page" w:tblpX="1020" w:tblpY="400"/>
        <w:tblOverlap w:val="never"/>
        <w:tblW w:w="14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48"/>
        <w:gridCol w:w="1547"/>
        <w:gridCol w:w="2389"/>
        <w:gridCol w:w="1739"/>
        <w:gridCol w:w="2400"/>
        <w:gridCol w:w="2269"/>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271" w:type="dxa"/>
            <w:vAlign w:val="center"/>
          </w:tcPr>
          <w:p>
            <w:pPr>
              <w:jc w:val="center"/>
              <w:rPr>
                <w:rFonts w:ascii="黑体" w:hAnsi="黑体" w:eastAsia="黑体"/>
                <w:sz w:val="28"/>
              </w:rPr>
            </w:pPr>
            <w:r>
              <w:rPr>
                <w:rFonts w:hint="eastAsia" w:ascii="黑体" w:hAnsi="黑体" w:eastAsia="黑体"/>
                <w:sz w:val="28"/>
              </w:rPr>
              <w:t>类别</w:t>
            </w:r>
          </w:p>
        </w:tc>
        <w:tc>
          <w:tcPr>
            <w:tcW w:w="1148" w:type="dxa"/>
            <w:vAlign w:val="center"/>
          </w:tcPr>
          <w:p>
            <w:pPr>
              <w:jc w:val="center"/>
              <w:rPr>
                <w:rFonts w:ascii="黑体" w:hAnsi="黑体" w:eastAsia="黑体"/>
                <w:sz w:val="28"/>
              </w:rPr>
            </w:pPr>
            <w:r>
              <w:rPr>
                <w:rFonts w:hint="eastAsia" w:ascii="黑体" w:hAnsi="黑体" w:eastAsia="黑体"/>
                <w:sz w:val="28"/>
              </w:rPr>
              <w:t>姓名</w:t>
            </w:r>
          </w:p>
        </w:tc>
        <w:tc>
          <w:tcPr>
            <w:tcW w:w="1547" w:type="dxa"/>
            <w:vAlign w:val="center"/>
          </w:tcPr>
          <w:p>
            <w:pPr>
              <w:jc w:val="center"/>
              <w:rPr>
                <w:rFonts w:hint="eastAsia" w:ascii="黑体" w:hAnsi="黑体" w:eastAsia="黑体"/>
                <w:sz w:val="28"/>
                <w:lang w:eastAsia="zh-CN"/>
              </w:rPr>
            </w:pPr>
            <w:r>
              <w:rPr>
                <w:rFonts w:hint="eastAsia" w:ascii="黑体" w:hAnsi="黑体" w:eastAsia="黑体"/>
                <w:sz w:val="28"/>
                <w:lang w:eastAsia="zh-CN"/>
              </w:rPr>
              <w:t>原负责人</w:t>
            </w:r>
          </w:p>
          <w:p>
            <w:pPr>
              <w:jc w:val="center"/>
              <w:rPr>
                <w:rFonts w:hint="eastAsia" w:ascii="黑体" w:hAnsi="黑体" w:eastAsia="黑体"/>
                <w:sz w:val="28"/>
                <w:lang w:eastAsia="zh-CN"/>
              </w:rPr>
            </w:pPr>
            <w:r>
              <w:rPr>
                <w:rFonts w:hint="eastAsia" w:ascii="黑体" w:hAnsi="黑体" w:eastAsia="黑体"/>
                <w:sz w:val="28"/>
                <w:lang w:eastAsia="zh-CN"/>
              </w:rPr>
              <w:t>是否变动</w:t>
            </w:r>
          </w:p>
        </w:tc>
        <w:tc>
          <w:tcPr>
            <w:tcW w:w="2389" w:type="dxa"/>
            <w:vAlign w:val="center"/>
          </w:tcPr>
          <w:p>
            <w:pPr>
              <w:jc w:val="center"/>
              <w:rPr>
                <w:rFonts w:ascii="黑体" w:hAnsi="黑体" w:eastAsia="黑体"/>
                <w:sz w:val="28"/>
              </w:rPr>
            </w:pPr>
            <w:r>
              <w:rPr>
                <w:rFonts w:hint="eastAsia" w:ascii="黑体" w:hAnsi="黑体" w:eastAsia="黑体"/>
                <w:sz w:val="28"/>
              </w:rPr>
              <w:t>单位</w:t>
            </w:r>
          </w:p>
        </w:tc>
        <w:tc>
          <w:tcPr>
            <w:tcW w:w="1739" w:type="dxa"/>
            <w:vAlign w:val="center"/>
          </w:tcPr>
          <w:p>
            <w:pPr>
              <w:jc w:val="center"/>
              <w:rPr>
                <w:rFonts w:hint="eastAsia" w:ascii="黑体" w:hAnsi="黑体" w:eastAsia="黑体"/>
                <w:sz w:val="28"/>
                <w:lang w:eastAsia="zh-CN"/>
              </w:rPr>
            </w:pPr>
            <w:r>
              <w:rPr>
                <w:rFonts w:hint="eastAsia" w:ascii="黑体" w:hAnsi="黑体" w:eastAsia="黑体"/>
                <w:sz w:val="28"/>
                <w:lang w:eastAsia="zh-CN"/>
              </w:rPr>
              <w:t>处室</w:t>
            </w:r>
          </w:p>
        </w:tc>
        <w:tc>
          <w:tcPr>
            <w:tcW w:w="2400" w:type="dxa"/>
            <w:vAlign w:val="center"/>
          </w:tcPr>
          <w:p>
            <w:pPr>
              <w:jc w:val="center"/>
              <w:rPr>
                <w:rFonts w:ascii="黑体" w:hAnsi="黑体" w:eastAsia="黑体"/>
                <w:sz w:val="28"/>
              </w:rPr>
            </w:pPr>
            <w:r>
              <w:rPr>
                <w:rFonts w:hint="eastAsia" w:ascii="黑体" w:hAnsi="黑体" w:eastAsia="黑体"/>
                <w:sz w:val="28"/>
              </w:rPr>
              <w:t>办公</w:t>
            </w:r>
            <w:r>
              <w:rPr>
                <w:rFonts w:ascii="黑体" w:hAnsi="黑体" w:eastAsia="黑体"/>
                <w:sz w:val="28"/>
              </w:rPr>
              <w:t>电话</w:t>
            </w:r>
          </w:p>
        </w:tc>
        <w:tc>
          <w:tcPr>
            <w:tcW w:w="2269" w:type="dxa"/>
            <w:vAlign w:val="center"/>
          </w:tcPr>
          <w:p>
            <w:pPr>
              <w:jc w:val="center"/>
              <w:rPr>
                <w:rFonts w:ascii="黑体" w:hAnsi="黑体" w:eastAsia="黑体"/>
                <w:sz w:val="28"/>
              </w:rPr>
            </w:pPr>
            <w:r>
              <w:rPr>
                <w:rFonts w:hint="eastAsia" w:ascii="黑体" w:hAnsi="黑体" w:eastAsia="黑体"/>
                <w:sz w:val="28"/>
              </w:rPr>
              <w:t>手机号码</w:t>
            </w:r>
          </w:p>
        </w:tc>
        <w:tc>
          <w:tcPr>
            <w:tcW w:w="1859" w:type="dxa"/>
            <w:vAlign w:val="center"/>
          </w:tcPr>
          <w:p>
            <w:pPr>
              <w:jc w:val="center"/>
              <w:rPr>
                <w:rFonts w:hint="eastAsia" w:ascii="黑体" w:hAnsi="黑体" w:eastAsia="黑体"/>
                <w:sz w:val="28"/>
                <w:lang w:eastAsia="zh-CN"/>
              </w:rPr>
            </w:pPr>
            <w:r>
              <w:rPr>
                <w:rFonts w:hint="eastAsia" w:ascii="黑体" w:hAnsi="黑体" w:eastAsia="黑体"/>
                <w:sz w:val="28"/>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71" w:type="dxa"/>
            <w:vAlign w:val="center"/>
          </w:tcPr>
          <w:p>
            <w:pPr>
              <w:jc w:val="center"/>
              <w:rPr>
                <w:rFonts w:hint="eastAsia" w:hAnsi="黑体" w:eastAsiaTheme="minorEastAsia"/>
                <w:sz w:val="28"/>
                <w:lang w:eastAsia="zh-CN"/>
              </w:rPr>
            </w:pPr>
            <w:r>
              <w:rPr>
                <w:rFonts w:hint="eastAsia" w:hAnsi="黑体"/>
                <w:sz w:val="28"/>
                <w:lang w:eastAsia="zh-CN"/>
              </w:rPr>
              <w:t>视察员</w:t>
            </w:r>
          </w:p>
        </w:tc>
        <w:tc>
          <w:tcPr>
            <w:tcW w:w="1148" w:type="dxa"/>
            <w:vAlign w:val="center"/>
          </w:tcPr>
          <w:p>
            <w:pPr>
              <w:rPr>
                <w:rFonts w:ascii="黑体" w:hAnsi="黑体" w:eastAsia="黑体"/>
                <w:sz w:val="28"/>
              </w:rPr>
            </w:pPr>
          </w:p>
        </w:tc>
        <w:tc>
          <w:tcPr>
            <w:tcW w:w="1547" w:type="dxa"/>
            <w:vAlign w:val="center"/>
          </w:tcPr>
          <w:p>
            <w:pPr>
              <w:rPr>
                <w:rFonts w:ascii="黑体" w:hAnsi="黑体" w:eastAsia="黑体"/>
                <w:sz w:val="28"/>
              </w:rPr>
            </w:pPr>
          </w:p>
        </w:tc>
        <w:tc>
          <w:tcPr>
            <w:tcW w:w="2389" w:type="dxa"/>
            <w:vAlign w:val="center"/>
          </w:tcPr>
          <w:p>
            <w:pPr>
              <w:rPr>
                <w:rFonts w:ascii="黑体" w:hAnsi="黑体" w:eastAsia="黑体"/>
                <w:sz w:val="28"/>
              </w:rPr>
            </w:pPr>
          </w:p>
        </w:tc>
        <w:tc>
          <w:tcPr>
            <w:tcW w:w="1739" w:type="dxa"/>
            <w:vAlign w:val="center"/>
          </w:tcPr>
          <w:p>
            <w:pPr>
              <w:jc w:val="center"/>
              <w:rPr>
                <w:rFonts w:hint="default" w:ascii="黑体" w:hAnsi="黑体" w:eastAsia="黑体"/>
                <w:sz w:val="28"/>
                <w:lang w:val="en-US" w:eastAsia="zh-CN"/>
              </w:rPr>
            </w:pPr>
            <w:r>
              <w:rPr>
                <w:rFonts w:hint="default" w:ascii="黑体" w:hAnsi="黑体" w:eastAsia="黑体"/>
                <w:sz w:val="28"/>
                <w:lang w:val="en-US" w:eastAsia="zh-CN"/>
              </w:rPr>
              <w:t>--</w:t>
            </w:r>
          </w:p>
        </w:tc>
        <w:tc>
          <w:tcPr>
            <w:tcW w:w="2400" w:type="dxa"/>
            <w:vAlign w:val="center"/>
          </w:tcPr>
          <w:p>
            <w:pPr>
              <w:jc w:val="center"/>
              <w:rPr>
                <w:rFonts w:ascii="黑体" w:hAnsi="黑体" w:eastAsia="黑体"/>
                <w:sz w:val="28"/>
              </w:rPr>
            </w:pPr>
          </w:p>
        </w:tc>
        <w:tc>
          <w:tcPr>
            <w:tcW w:w="2269" w:type="dxa"/>
            <w:vAlign w:val="center"/>
          </w:tcPr>
          <w:p>
            <w:pPr>
              <w:jc w:val="center"/>
              <w:rPr>
                <w:rFonts w:ascii="黑体" w:hAnsi="黑体" w:eastAsia="黑体"/>
                <w:sz w:val="28"/>
              </w:rPr>
            </w:pPr>
          </w:p>
        </w:tc>
        <w:tc>
          <w:tcPr>
            <w:tcW w:w="1859" w:type="dxa"/>
            <w:vAlign w:val="center"/>
          </w:tcPr>
          <w:p>
            <w:pPr>
              <w:jc w:val="center"/>
              <w:rPr>
                <w:rFonts w:hint="default" w:ascii="黑体" w:hAnsi="黑体" w:eastAsia="黑体"/>
                <w:sz w:val="28"/>
                <w:lang w:val="en-US"/>
              </w:rPr>
            </w:pPr>
            <w:r>
              <w:rPr>
                <w:rFonts w:hint="default" w:ascii="黑体" w:hAnsi="黑体" w:eastAsia="黑体"/>
                <w:sz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271" w:type="dxa"/>
            <w:vAlign w:val="center"/>
          </w:tcPr>
          <w:p>
            <w:pPr>
              <w:jc w:val="center"/>
              <w:rPr>
                <w:rFonts w:hint="eastAsia" w:hAnsi="黑体" w:eastAsiaTheme="minorEastAsia"/>
                <w:sz w:val="28"/>
                <w:lang w:eastAsia="zh-CN"/>
              </w:rPr>
            </w:pPr>
            <w:r>
              <w:rPr>
                <w:rFonts w:hint="eastAsia" w:hAnsi="黑体"/>
                <w:sz w:val="28"/>
                <w:lang w:eastAsia="zh-CN"/>
              </w:rPr>
              <w:t>审核员</w:t>
            </w:r>
          </w:p>
        </w:tc>
        <w:tc>
          <w:tcPr>
            <w:tcW w:w="1148" w:type="dxa"/>
            <w:vAlign w:val="center"/>
          </w:tcPr>
          <w:p>
            <w:pPr>
              <w:rPr>
                <w:rFonts w:ascii="黑体" w:hAnsi="黑体" w:eastAsia="黑体"/>
                <w:sz w:val="28"/>
              </w:rPr>
            </w:pPr>
          </w:p>
        </w:tc>
        <w:tc>
          <w:tcPr>
            <w:tcW w:w="1547" w:type="dxa"/>
            <w:vAlign w:val="center"/>
          </w:tcPr>
          <w:p>
            <w:pPr>
              <w:rPr>
                <w:rFonts w:ascii="黑体" w:hAnsi="黑体" w:eastAsia="黑体"/>
                <w:sz w:val="28"/>
              </w:rPr>
            </w:pPr>
          </w:p>
        </w:tc>
        <w:tc>
          <w:tcPr>
            <w:tcW w:w="2389" w:type="dxa"/>
            <w:vAlign w:val="center"/>
          </w:tcPr>
          <w:p>
            <w:pPr>
              <w:rPr>
                <w:rFonts w:ascii="黑体" w:hAnsi="黑体" w:eastAsia="黑体"/>
                <w:sz w:val="28"/>
              </w:rPr>
            </w:pPr>
          </w:p>
        </w:tc>
        <w:tc>
          <w:tcPr>
            <w:tcW w:w="1739" w:type="dxa"/>
            <w:vAlign w:val="center"/>
          </w:tcPr>
          <w:p>
            <w:pPr>
              <w:rPr>
                <w:rFonts w:ascii="黑体" w:hAnsi="黑体" w:eastAsia="黑体"/>
                <w:sz w:val="28"/>
              </w:rPr>
            </w:pPr>
          </w:p>
        </w:tc>
        <w:tc>
          <w:tcPr>
            <w:tcW w:w="2400" w:type="dxa"/>
            <w:vAlign w:val="center"/>
          </w:tcPr>
          <w:p>
            <w:pPr>
              <w:rPr>
                <w:rFonts w:ascii="黑体" w:hAnsi="黑体" w:eastAsia="黑体"/>
                <w:sz w:val="28"/>
              </w:rPr>
            </w:pPr>
          </w:p>
        </w:tc>
        <w:tc>
          <w:tcPr>
            <w:tcW w:w="2269" w:type="dxa"/>
            <w:vAlign w:val="center"/>
          </w:tcPr>
          <w:p>
            <w:pPr>
              <w:rPr>
                <w:rFonts w:ascii="黑体" w:hAnsi="黑体" w:eastAsia="黑体"/>
                <w:sz w:val="28"/>
              </w:rPr>
            </w:pPr>
          </w:p>
        </w:tc>
        <w:tc>
          <w:tcPr>
            <w:tcW w:w="1859" w:type="dxa"/>
            <w:vAlign w:val="center"/>
          </w:tcPr>
          <w:p>
            <w:pPr>
              <w:rPr>
                <w:rFonts w:ascii="黑体" w:hAns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271" w:type="dxa"/>
            <w:vAlign w:val="center"/>
          </w:tcPr>
          <w:p>
            <w:pPr>
              <w:jc w:val="center"/>
              <w:rPr>
                <w:rFonts w:hint="eastAsia" w:hAnsi="黑体" w:eastAsiaTheme="minorEastAsia"/>
                <w:sz w:val="28"/>
                <w:lang w:eastAsia="zh-CN"/>
              </w:rPr>
            </w:pPr>
            <w:r>
              <w:rPr>
                <w:rFonts w:hint="eastAsia" w:hAnsi="黑体"/>
                <w:sz w:val="28"/>
                <w:lang w:eastAsia="zh-CN"/>
              </w:rPr>
              <w:t>管理员</w:t>
            </w:r>
          </w:p>
        </w:tc>
        <w:tc>
          <w:tcPr>
            <w:tcW w:w="1148" w:type="dxa"/>
            <w:vAlign w:val="center"/>
          </w:tcPr>
          <w:p>
            <w:pPr>
              <w:rPr>
                <w:rFonts w:ascii="黑体" w:hAnsi="黑体" w:eastAsia="黑体"/>
                <w:sz w:val="28"/>
              </w:rPr>
            </w:pPr>
          </w:p>
        </w:tc>
        <w:tc>
          <w:tcPr>
            <w:tcW w:w="1547" w:type="dxa"/>
            <w:vAlign w:val="center"/>
          </w:tcPr>
          <w:p>
            <w:pPr>
              <w:rPr>
                <w:rFonts w:ascii="黑体" w:hAnsi="黑体" w:eastAsia="黑体"/>
                <w:sz w:val="28"/>
              </w:rPr>
            </w:pPr>
          </w:p>
        </w:tc>
        <w:tc>
          <w:tcPr>
            <w:tcW w:w="2389" w:type="dxa"/>
            <w:vAlign w:val="center"/>
          </w:tcPr>
          <w:p>
            <w:pPr>
              <w:rPr>
                <w:rFonts w:ascii="黑体" w:hAnsi="黑体" w:eastAsia="黑体"/>
                <w:sz w:val="28"/>
              </w:rPr>
            </w:pPr>
          </w:p>
        </w:tc>
        <w:tc>
          <w:tcPr>
            <w:tcW w:w="1739" w:type="dxa"/>
            <w:vAlign w:val="center"/>
          </w:tcPr>
          <w:p>
            <w:pPr>
              <w:rPr>
                <w:rFonts w:ascii="黑体" w:hAnsi="黑体" w:eastAsia="黑体"/>
                <w:sz w:val="28"/>
              </w:rPr>
            </w:pPr>
          </w:p>
        </w:tc>
        <w:tc>
          <w:tcPr>
            <w:tcW w:w="2400" w:type="dxa"/>
            <w:vAlign w:val="center"/>
          </w:tcPr>
          <w:p>
            <w:pPr>
              <w:rPr>
                <w:rFonts w:ascii="黑体" w:hAnsi="黑体" w:eastAsia="黑体"/>
                <w:sz w:val="28"/>
              </w:rPr>
            </w:pPr>
          </w:p>
        </w:tc>
        <w:tc>
          <w:tcPr>
            <w:tcW w:w="2269" w:type="dxa"/>
            <w:vAlign w:val="center"/>
          </w:tcPr>
          <w:p>
            <w:pPr>
              <w:rPr>
                <w:rFonts w:ascii="黑体" w:hAnsi="黑体" w:eastAsia="黑体"/>
                <w:sz w:val="28"/>
              </w:rPr>
            </w:pPr>
          </w:p>
        </w:tc>
        <w:tc>
          <w:tcPr>
            <w:tcW w:w="1859" w:type="dxa"/>
            <w:vAlign w:val="center"/>
          </w:tcPr>
          <w:p>
            <w:pPr>
              <w:rPr>
                <w:rFonts w:ascii="黑体" w:hAnsi="黑体" w:eastAsia="黑体"/>
                <w:sz w:val="28"/>
              </w:rPr>
            </w:pPr>
          </w:p>
        </w:tc>
      </w:tr>
    </w:tbl>
    <w:p>
      <w:pPr>
        <w:rPr>
          <w:rFonts w:hint="default"/>
          <w:lang w:val="en-US"/>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备注：1、市直属学校只填写管理员；</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default" w:ascii="黑体" w:hAnsi="黑体" w:eastAsia="黑体" w:cs="黑体"/>
          <w:sz w:val="28"/>
          <w:szCs w:val="28"/>
          <w:lang w:val="en-US" w:eastAsia="zh-CN"/>
        </w:rPr>
        <w:sectPr>
          <w:pgSz w:w="16838" w:h="11906" w:orient="landscape"/>
          <w:pgMar w:top="1587" w:right="2041" w:bottom="1474" w:left="1814" w:header="0" w:footer="1587" w:gutter="0"/>
          <w:pgNumType w:fmt="numberInDash"/>
          <w:cols w:space="0" w:num="1"/>
          <w:rtlGutter w:val="0"/>
          <w:docGrid w:type="lines" w:linePitch="442" w:charSpace="0"/>
        </w:sectPr>
      </w:pPr>
    </w:p>
    <w:p>
      <w:pPr/>
      <w:r>
        <w:drawing>
          <wp:anchor distT="0" distB="0" distL="114300" distR="114300" simplePos="0" relativeHeight="251680768" behindDoc="0" locked="0" layoutInCell="1" allowOverlap="1">
            <wp:simplePos x="0" y="0"/>
            <wp:positionH relativeFrom="column">
              <wp:posOffset>3208020</wp:posOffset>
            </wp:positionH>
            <wp:positionV relativeFrom="paragraph">
              <wp:posOffset>8004810</wp:posOffset>
            </wp:positionV>
            <wp:extent cx="1790700" cy="476250"/>
            <wp:effectExtent l="0" t="0" r="7620" b="11430"/>
            <wp:wrapSquare wrapText="bothSides"/>
            <wp:docPr id="12" name="图片 14" descr="教科技函〔2019〕44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教科技函〔2019〕446号"/>
                    <pic:cNvPicPr>
                      <a:picLocks noChangeAspect="1"/>
                    </pic:cNvPicPr>
                  </pic:nvPicPr>
                  <pic:blipFill>
                    <a:blip r:embed="rId5"/>
                    <a:stretch>
                      <a:fillRect/>
                    </a:stretch>
                  </pic:blipFill>
                  <pic:spPr>
                    <a:xfrm>
                      <a:off x="0" y="0"/>
                      <a:ext cx="1790700" cy="476250"/>
                    </a:xfrm>
                    <a:prstGeom prst="rect">
                      <a:avLst/>
                    </a:prstGeom>
                    <a:noFill/>
                    <a:ln>
                      <a:noFill/>
                    </a:ln>
                  </pic:spPr>
                </pic:pic>
              </a:graphicData>
            </a:graphic>
          </wp:anchor>
        </w:drawing>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-85090</wp:posOffset>
              </wp:positionV>
              <wp:extent cx="1828800" cy="3219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321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pt;height:25.35pt;width:144pt;mso-position-horizontal:outside;mso-position-horizontal-relative:margin;mso-wrap-style:none;z-index:251658240;mso-width-relative:page;mso-height-relative:page;" filled="f" stroked="f" coordsize="21600,21600" o:gfxdata="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B84SfXAAAABwEAAA8A&#10;AAAAAAAAAQAgAAAAIgAAAGRycy9kb3ducmV2LnhtbFBLAQIUABQAAAAIAIdO4kAOQIeOGAIAABIE&#10;AAAOAAAAAAAAAAEAIAAAACYBAABkcnMvZTJvRG9jLnhtbFBLBQYAAAAABgAGAFkBAACw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22486390">
    <w:nsid w:val="E9CC6476"/>
    <w:multiLevelType w:val="singleLevel"/>
    <w:tmpl w:val="E9CC6476"/>
    <w:lvl w:ilvl="0" w:tentative="1">
      <w:start w:val="3"/>
      <w:numFmt w:val="chineseCounting"/>
      <w:suff w:val="nothing"/>
      <w:lvlText w:val="%1、"/>
      <w:lvlJc w:val="left"/>
      <w:rPr>
        <w:rFonts w:hint="eastAsia"/>
      </w:rPr>
    </w:lvl>
  </w:abstractNum>
  <w:num w:numId="1">
    <w:abstractNumId w:val="3922486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34D01"/>
    <w:rsid w:val="02970AD9"/>
    <w:rsid w:val="063B30D3"/>
    <w:rsid w:val="11382515"/>
    <w:rsid w:val="132D5491"/>
    <w:rsid w:val="15774D25"/>
    <w:rsid w:val="17575E2A"/>
    <w:rsid w:val="239F12C6"/>
    <w:rsid w:val="29E6345E"/>
    <w:rsid w:val="33081EBC"/>
    <w:rsid w:val="36C66B7B"/>
    <w:rsid w:val="382507AE"/>
    <w:rsid w:val="3ACA1C73"/>
    <w:rsid w:val="41A75F21"/>
    <w:rsid w:val="4496546F"/>
    <w:rsid w:val="462A79E0"/>
    <w:rsid w:val="4A056359"/>
    <w:rsid w:val="4C8033C1"/>
    <w:rsid w:val="4E74432D"/>
    <w:rsid w:val="5AA22886"/>
    <w:rsid w:val="60897EB9"/>
    <w:rsid w:val="6A826495"/>
    <w:rsid w:val="6B97300B"/>
    <w:rsid w:val="6DDE4CA5"/>
    <w:rsid w:val="6EC34D01"/>
    <w:rsid w:val="6EFE7FF5"/>
    <w:rsid w:val="6F5F79B7"/>
    <w:rsid w:val="7605222F"/>
    <w:rsid w:val="764C5D69"/>
    <w:rsid w:val="7B1932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line="13" w:lineRule="atLeast"/>
      <w:ind w:left="0" w:right="0"/>
      <w:jc w:val="left"/>
    </w:pPr>
    <w:rPr>
      <w:rFonts w:hint="eastAsia" w:ascii="宋体" w:hAnsi="宋体" w:eastAsia="宋体" w:cs="宋体"/>
      <w:b/>
      <w:kern w:val="44"/>
      <w:sz w:val="43"/>
      <w:szCs w:val="43"/>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120" w:afterAutospacing="0"/>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2222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2019-11-08T01:04:00Z</dcterms:created>
  <dc:creator>聆听那片海</dc:creator>
  <cp:lastModifiedBy>张俊芳</cp:lastModifiedBy>
  <dcterms:modified xsi:type="dcterms:W3CDTF">2019-11-12T08:52:34Z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