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ascii="方正小标宋简体" w:hAnsi="方正小标宋简体" w:eastAsia="方正小标宋简体" w:cs="方正小标宋简体"/>
          <w:sz w:val="44"/>
          <w:szCs w:val="44"/>
          <w:lang w:eastAsia="zh-CN"/>
        </w:rPr>
        <w:t>权责清单拟调整情况</w:t>
      </w:r>
    </w:p>
    <w:p>
      <w:pPr>
        <w:jc w:val="left"/>
        <w:rPr>
          <w:rFonts w:hint="eastAsia"/>
          <w:sz w:val="24"/>
          <w:szCs w:val="24"/>
          <w:lang w:val="en-US" w:eastAsia="zh-CN"/>
        </w:rPr>
      </w:pPr>
      <w:r>
        <w:rPr>
          <w:rFonts w:hint="eastAsia"/>
          <w:sz w:val="24"/>
          <w:szCs w:val="24"/>
          <w:lang w:val="en-US" w:eastAsia="zh-CN"/>
        </w:rPr>
        <w:t>部门负责人签字：</w:t>
      </w:r>
    </w:p>
    <w:p>
      <w:pPr>
        <w:jc w:val="left"/>
        <w:rPr>
          <w:rFonts w:hint="eastAsia"/>
          <w:sz w:val="24"/>
          <w:szCs w:val="24"/>
          <w:lang w:val="en-US" w:eastAsia="zh-CN"/>
        </w:rPr>
      </w:pPr>
      <w:r>
        <w:rPr>
          <w:rFonts w:hint="eastAsia"/>
          <w:sz w:val="24"/>
          <w:szCs w:val="24"/>
          <w:lang w:val="en-US" w:eastAsia="zh-CN"/>
        </w:rPr>
        <w:t>部门名称：平顶山市教育体育局</w:t>
      </w:r>
    </w:p>
    <w:tbl>
      <w:tblPr>
        <w:tblStyle w:val="3"/>
        <w:tblW w:w="14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3193"/>
        <w:gridCol w:w="6385"/>
        <w:gridCol w:w="1123"/>
        <w:gridCol w:w="1507"/>
        <w:gridCol w:w="940"/>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3"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序号</w:t>
            </w:r>
          </w:p>
        </w:tc>
        <w:tc>
          <w:tcPr>
            <w:tcW w:w="3193"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项目名称</w:t>
            </w:r>
          </w:p>
        </w:tc>
        <w:tc>
          <w:tcPr>
            <w:tcW w:w="638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设定依据</w:t>
            </w:r>
          </w:p>
        </w:tc>
        <w:tc>
          <w:tcPr>
            <w:tcW w:w="1123"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职权</w:t>
            </w: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类别</w:t>
            </w:r>
          </w:p>
        </w:tc>
        <w:tc>
          <w:tcPr>
            <w:tcW w:w="150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责任</w:t>
            </w: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科室</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拟调整</w:t>
            </w: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情况</w:t>
            </w:r>
          </w:p>
        </w:tc>
        <w:tc>
          <w:tcPr>
            <w:tcW w:w="689"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563"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3193" w:type="dxa"/>
            <w:vAlign w:val="center"/>
          </w:tcPr>
          <w:p>
            <w:pPr>
              <w:jc w:val="both"/>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市城区举办实施中等学历教育的</w:t>
            </w:r>
            <w:r>
              <w:rPr>
                <w:rFonts w:hint="eastAsia" w:ascii="仿宋" w:hAnsi="仿宋" w:eastAsia="仿宋" w:cs="仿宋"/>
                <w:color w:val="auto"/>
                <w:kern w:val="0"/>
                <w:sz w:val="24"/>
                <w:szCs w:val="24"/>
              </w:rPr>
              <w:t>民办</w:t>
            </w:r>
            <w:r>
              <w:rPr>
                <w:rFonts w:hint="eastAsia" w:ascii="仿宋" w:hAnsi="仿宋" w:eastAsia="仿宋" w:cs="仿宋"/>
                <w:color w:val="auto"/>
                <w:kern w:val="0"/>
                <w:sz w:val="24"/>
                <w:szCs w:val="24"/>
                <w:lang w:eastAsia="zh-CN"/>
              </w:rPr>
              <w:t>学校</w:t>
            </w:r>
            <w:r>
              <w:rPr>
                <w:rFonts w:hint="eastAsia" w:ascii="仿宋" w:hAnsi="仿宋" w:eastAsia="仿宋" w:cs="仿宋"/>
                <w:color w:val="auto"/>
                <w:kern w:val="0"/>
                <w:sz w:val="24"/>
                <w:szCs w:val="24"/>
              </w:rPr>
              <w:t>审批</w:t>
            </w:r>
            <w:r>
              <w:rPr>
                <w:rFonts w:hint="eastAsia" w:ascii="仿宋" w:hAnsi="仿宋" w:eastAsia="仿宋" w:cs="仿宋"/>
                <w:color w:val="auto"/>
                <w:kern w:val="0"/>
                <w:sz w:val="24"/>
                <w:szCs w:val="24"/>
                <w:lang w:eastAsia="zh-CN"/>
              </w:rPr>
              <w:t>管理</w:t>
            </w:r>
            <w:r>
              <w:rPr>
                <w:rFonts w:hint="eastAsia" w:ascii="仿宋" w:hAnsi="仿宋" w:eastAsia="仿宋" w:cs="仿宋"/>
                <w:color w:val="auto"/>
                <w:kern w:val="0"/>
                <w:sz w:val="24"/>
                <w:szCs w:val="24"/>
                <w:lang w:val="en-US" w:eastAsia="zh-CN"/>
              </w:rPr>
              <w:t xml:space="preserve"> </w:t>
            </w:r>
          </w:p>
          <w:p>
            <w:pPr>
              <w:jc w:val="both"/>
              <w:rPr>
                <w:rFonts w:hint="eastAsia" w:ascii="仿宋" w:hAnsi="仿宋" w:eastAsia="仿宋" w:cs="仿宋"/>
                <w:color w:val="auto"/>
                <w:kern w:val="0"/>
                <w:sz w:val="24"/>
                <w:szCs w:val="24"/>
                <w:lang w:val="en-US" w:eastAsia="zh-CN"/>
              </w:rPr>
            </w:pPr>
          </w:p>
          <w:p>
            <w:pPr>
              <w:jc w:val="both"/>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子项1.</w:t>
            </w:r>
            <w:r>
              <w:rPr>
                <w:rFonts w:hint="eastAsia" w:ascii="仿宋" w:hAnsi="仿宋" w:eastAsia="仿宋" w:cs="仿宋"/>
                <w:color w:val="auto"/>
                <w:kern w:val="0"/>
                <w:sz w:val="24"/>
                <w:szCs w:val="24"/>
                <w:lang w:eastAsia="zh-CN"/>
              </w:rPr>
              <w:t>筹设中等学历教育民办学校审批</w:t>
            </w:r>
          </w:p>
        </w:tc>
        <w:tc>
          <w:tcPr>
            <w:tcW w:w="6385" w:type="dxa"/>
            <w:vAlign w:val="center"/>
          </w:tcPr>
          <w:p>
            <w:pPr>
              <w:jc w:val="left"/>
              <w:rPr>
                <w:rFonts w:hint="eastAsia" w:ascii="仿宋" w:hAnsi="仿宋" w:eastAsia="仿宋" w:cs="仿宋"/>
                <w:sz w:val="21"/>
                <w:szCs w:val="21"/>
                <w:vertAlign w:val="baseline"/>
                <w:lang w:val="en-US" w:eastAsia="zh-CN"/>
              </w:rPr>
            </w:pPr>
            <w:r>
              <w:rPr>
                <w:rFonts w:hint="eastAsia" w:ascii="仿宋" w:hAnsi="仿宋" w:eastAsia="仿宋" w:cs="仿宋"/>
                <w:color w:val="auto"/>
                <w:kern w:val="0"/>
                <w:sz w:val="21"/>
                <w:szCs w:val="21"/>
              </w:rPr>
              <w:t xml:space="preserve"> 《中华人民共和国民办教育促进法》（主席令第第</w:t>
            </w:r>
            <w:r>
              <w:rPr>
                <w:rFonts w:hint="eastAsia" w:ascii="仿宋" w:hAnsi="仿宋" w:eastAsia="仿宋" w:cs="仿宋"/>
                <w:color w:val="auto"/>
                <w:kern w:val="0"/>
                <w:sz w:val="21"/>
                <w:szCs w:val="21"/>
                <w:lang w:eastAsia="zh-CN"/>
              </w:rPr>
              <w:t>五</w:t>
            </w:r>
            <w:r>
              <w:rPr>
                <w:rFonts w:hint="eastAsia" w:ascii="仿宋" w:hAnsi="仿宋" w:eastAsia="仿宋" w:cs="仿宋"/>
                <w:color w:val="auto"/>
                <w:kern w:val="0"/>
                <w:sz w:val="21"/>
                <w:szCs w:val="21"/>
              </w:rPr>
              <w:t>十</w:t>
            </w:r>
            <w:r>
              <w:rPr>
                <w:rFonts w:hint="eastAsia" w:ascii="仿宋" w:hAnsi="仿宋" w:eastAsia="仿宋" w:cs="仿宋"/>
                <w:color w:val="auto"/>
                <w:kern w:val="0"/>
                <w:sz w:val="21"/>
                <w:szCs w:val="21"/>
                <w:lang w:eastAsia="zh-CN"/>
              </w:rPr>
              <w:t>五</w:t>
            </w:r>
            <w:r>
              <w:rPr>
                <w:rFonts w:hint="eastAsia" w:ascii="仿宋" w:hAnsi="仿宋" w:eastAsia="仿宋" w:cs="仿宋"/>
                <w:color w:val="auto"/>
                <w:kern w:val="0"/>
                <w:sz w:val="21"/>
                <w:szCs w:val="21"/>
              </w:rPr>
              <w:t>号）第</w:t>
            </w:r>
            <w:r>
              <w:rPr>
                <w:rFonts w:hint="eastAsia" w:ascii="仿宋" w:hAnsi="仿宋" w:eastAsia="仿宋" w:cs="仿宋"/>
                <w:color w:val="auto"/>
                <w:kern w:val="0"/>
                <w:sz w:val="21"/>
                <w:szCs w:val="21"/>
                <w:lang w:eastAsia="zh-CN"/>
              </w:rPr>
              <w:t>十</w:t>
            </w:r>
            <w:r>
              <w:rPr>
                <w:rFonts w:hint="eastAsia" w:ascii="仿宋" w:hAnsi="仿宋" w:eastAsia="仿宋" w:cs="仿宋"/>
                <w:color w:val="auto"/>
                <w:kern w:val="0"/>
                <w:sz w:val="21"/>
                <w:szCs w:val="21"/>
              </w:rPr>
              <w:t>条：“举办民办学校的社会组织，应当具有法人资格。举办民办学校的个人，应当具有政治权利和完全民事行为能力。民办学校应当具备法人条件。” 第十</w:t>
            </w:r>
            <w:r>
              <w:rPr>
                <w:rFonts w:hint="eastAsia" w:ascii="仿宋" w:hAnsi="仿宋" w:eastAsia="仿宋" w:cs="仿宋"/>
                <w:color w:val="auto"/>
                <w:kern w:val="0"/>
                <w:sz w:val="21"/>
                <w:szCs w:val="21"/>
                <w:lang w:eastAsia="zh-CN"/>
              </w:rPr>
              <w:t>一</w:t>
            </w:r>
            <w:r>
              <w:rPr>
                <w:rFonts w:hint="eastAsia" w:ascii="仿宋" w:hAnsi="仿宋" w:eastAsia="仿宋" w:cs="仿宋"/>
                <w:color w:val="auto"/>
                <w:kern w:val="0"/>
                <w:sz w:val="21"/>
                <w:szCs w:val="21"/>
              </w:rPr>
              <w:t>条：“设立民办学校应当符合当地教育发展的需求，具备教育法和其他有关法律、法规规定的条件。 民办学校的设置标准参照同级同类公办学校的设置标准执行”。 第十</w:t>
            </w:r>
            <w:r>
              <w:rPr>
                <w:rFonts w:hint="eastAsia" w:ascii="仿宋" w:hAnsi="仿宋" w:eastAsia="仿宋" w:cs="仿宋"/>
                <w:color w:val="auto"/>
                <w:kern w:val="0"/>
                <w:sz w:val="21"/>
                <w:szCs w:val="21"/>
                <w:lang w:eastAsia="zh-CN"/>
              </w:rPr>
              <w:t>二</w:t>
            </w:r>
            <w:r>
              <w:rPr>
                <w:rFonts w:hint="eastAsia" w:ascii="仿宋" w:hAnsi="仿宋" w:eastAsia="仿宋" w:cs="仿宋"/>
                <w:color w:val="auto"/>
                <w:kern w:val="0"/>
                <w:sz w:val="21"/>
                <w:szCs w:val="21"/>
              </w:rPr>
              <w:t>条：“</w:t>
            </w:r>
            <w:r>
              <w:rPr>
                <w:rFonts w:hint="eastAsia" w:ascii="仿宋" w:hAnsi="仿宋" w:eastAsia="仿宋" w:cs="仿宋"/>
                <w:b w:val="0"/>
                <w:i w:val="0"/>
                <w:snapToGrid/>
                <w:color w:val="auto"/>
                <w:sz w:val="21"/>
                <w:szCs w:val="21"/>
                <w:shd w:val="clear" w:color="auto" w:fill="FFFFFF"/>
                <w:lang w:eastAsia="zh-CN"/>
              </w:rPr>
              <w:t xml:space="preserve">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r>
              <w:rPr>
                <w:rFonts w:hint="eastAsia" w:ascii="仿宋" w:hAnsi="仿宋" w:eastAsia="仿宋" w:cs="仿宋"/>
                <w:color w:val="auto"/>
                <w:kern w:val="0"/>
                <w:sz w:val="21"/>
                <w:szCs w:val="21"/>
              </w:rPr>
              <w:t>”第十</w:t>
            </w:r>
            <w:r>
              <w:rPr>
                <w:rFonts w:hint="eastAsia" w:ascii="仿宋" w:hAnsi="仿宋" w:eastAsia="仿宋" w:cs="仿宋"/>
                <w:color w:val="auto"/>
                <w:kern w:val="0"/>
                <w:sz w:val="21"/>
                <w:szCs w:val="21"/>
                <w:lang w:eastAsia="zh-CN"/>
              </w:rPr>
              <w:t>七</w:t>
            </w:r>
            <w:r>
              <w:rPr>
                <w:rFonts w:hint="eastAsia" w:ascii="仿宋" w:hAnsi="仿宋" w:eastAsia="仿宋" w:cs="仿宋"/>
                <w:color w:val="auto"/>
                <w:kern w:val="0"/>
                <w:sz w:val="21"/>
                <w:szCs w:val="21"/>
              </w:rPr>
              <w:t>条:“</w:t>
            </w:r>
            <w:r>
              <w:rPr>
                <w:rFonts w:hint="eastAsia" w:ascii="仿宋" w:hAnsi="仿宋" w:eastAsia="仿宋" w:cs="仿宋"/>
                <w:b w:val="0"/>
                <w:i w:val="0"/>
                <w:snapToGrid/>
                <w:color w:val="auto"/>
                <w:sz w:val="21"/>
                <w:szCs w:val="21"/>
                <w:shd w:val="clear" w:color="auto" w:fill="FFFFFF"/>
                <w:lang w:eastAsia="zh-CN"/>
              </w:rPr>
              <w:t>申请正式设立民办学校的，审批机关应当自受理之日起三个月内以书面形式作出是否批准的决定，并送达申请人;其中申请正式设立民办高等学校的，审批机关也可以自受理之日起六个月内以书面形式作出是否批准的决定，并送达申请人。</w:t>
            </w:r>
            <w:r>
              <w:rPr>
                <w:rFonts w:hint="eastAsia" w:ascii="仿宋" w:hAnsi="仿宋" w:eastAsia="仿宋" w:cs="仿宋"/>
                <w:color w:val="auto"/>
                <w:kern w:val="0"/>
                <w:sz w:val="21"/>
                <w:szCs w:val="21"/>
              </w:rPr>
              <w:t>”</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行政许可</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政策法规科（民办教育科）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3193" w:type="dxa"/>
            <w:vAlign w:val="center"/>
          </w:tcPr>
          <w:p>
            <w:pPr>
              <w:jc w:val="both"/>
              <w:rPr>
                <w:rFonts w:hint="eastAsia" w:ascii="仿宋" w:hAnsi="仿宋" w:eastAsia="仿宋" w:cs="仿宋"/>
                <w:color w:val="auto"/>
                <w:kern w:val="0"/>
                <w:sz w:val="24"/>
                <w:szCs w:val="24"/>
                <w:lang w:eastAsia="zh-CN"/>
              </w:rPr>
            </w:pPr>
          </w:p>
          <w:p>
            <w:pPr>
              <w:jc w:val="both"/>
              <w:rPr>
                <w:rFonts w:hint="eastAsia" w:ascii="仿宋" w:hAnsi="仿宋" w:eastAsia="仿宋" w:cs="仿宋"/>
                <w:color w:val="auto"/>
                <w:kern w:val="0"/>
                <w:sz w:val="24"/>
                <w:szCs w:val="24"/>
                <w:lang w:eastAsia="zh-CN"/>
              </w:rPr>
            </w:pPr>
          </w:p>
          <w:p>
            <w:pPr>
              <w:jc w:val="both"/>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市城区举办实施中等学历教育的</w:t>
            </w:r>
            <w:r>
              <w:rPr>
                <w:rFonts w:hint="eastAsia" w:ascii="仿宋" w:hAnsi="仿宋" w:eastAsia="仿宋" w:cs="仿宋"/>
                <w:color w:val="auto"/>
                <w:kern w:val="0"/>
                <w:sz w:val="24"/>
                <w:szCs w:val="24"/>
              </w:rPr>
              <w:t>民办</w:t>
            </w:r>
            <w:r>
              <w:rPr>
                <w:rFonts w:hint="eastAsia" w:ascii="仿宋" w:hAnsi="仿宋" w:eastAsia="仿宋" w:cs="仿宋"/>
                <w:color w:val="auto"/>
                <w:kern w:val="0"/>
                <w:sz w:val="24"/>
                <w:szCs w:val="24"/>
                <w:lang w:eastAsia="zh-CN"/>
              </w:rPr>
              <w:t>学校</w:t>
            </w:r>
            <w:r>
              <w:rPr>
                <w:rFonts w:hint="eastAsia" w:ascii="仿宋" w:hAnsi="仿宋" w:eastAsia="仿宋" w:cs="仿宋"/>
                <w:color w:val="auto"/>
                <w:kern w:val="0"/>
                <w:sz w:val="24"/>
                <w:szCs w:val="24"/>
              </w:rPr>
              <w:t>审批</w:t>
            </w:r>
            <w:r>
              <w:rPr>
                <w:rFonts w:hint="eastAsia" w:ascii="仿宋" w:hAnsi="仿宋" w:eastAsia="仿宋" w:cs="仿宋"/>
                <w:color w:val="auto"/>
                <w:kern w:val="0"/>
                <w:sz w:val="24"/>
                <w:szCs w:val="24"/>
                <w:lang w:eastAsia="zh-CN"/>
              </w:rPr>
              <w:t>管理</w:t>
            </w:r>
            <w:r>
              <w:rPr>
                <w:rFonts w:hint="eastAsia" w:ascii="仿宋" w:hAnsi="仿宋" w:eastAsia="仿宋" w:cs="仿宋"/>
                <w:color w:val="auto"/>
                <w:kern w:val="0"/>
                <w:sz w:val="24"/>
                <w:szCs w:val="24"/>
                <w:lang w:val="en-US" w:eastAsia="zh-CN"/>
              </w:rPr>
              <w:t xml:space="preserve"> </w:t>
            </w:r>
          </w:p>
          <w:p>
            <w:pPr>
              <w:jc w:val="both"/>
              <w:rPr>
                <w:rFonts w:hint="eastAsia" w:ascii="仿宋" w:hAnsi="仿宋" w:eastAsia="仿宋" w:cs="仿宋"/>
                <w:color w:val="auto"/>
                <w:kern w:val="0"/>
                <w:sz w:val="24"/>
                <w:szCs w:val="24"/>
                <w:lang w:val="en-US" w:eastAsia="zh-CN"/>
              </w:rPr>
            </w:pPr>
          </w:p>
          <w:p>
            <w:pPr>
              <w:jc w:val="both"/>
              <w:rPr>
                <w:rFonts w:hint="eastAsia" w:ascii="仿宋" w:hAnsi="仿宋" w:eastAsia="仿宋" w:cs="仿宋"/>
                <w:sz w:val="24"/>
                <w:szCs w:val="24"/>
                <w:vertAlign w:val="baseline"/>
                <w:lang w:val="en-US" w:eastAsia="zh-CN"/>
              </w:rPr>
            </w:pPr>
            <w:r>
              <w:rPr>
                <w:rFonts w:hint="eastAsia" w:ascii="仿宋" w:hAnsi="仿宋" w:eastAsia="仿宋" w:cs="仿宋"/>
                <w:color w:val="auto"/>
                <w:kern w:val="0"/>
                <w:sz w:val="24"/>
                <w:szCs w:val="24"/>
                <w:lang w:val="en-US" w:eastAsia="zh-CN"/>
              </w:rPr>
              <w:t>子项2.</w:t>
            </w:r>
            <w:r>
              <w:rPr>
                <w:rFonts w:hint="eastAsia" w:ascii="仿宋" w:hAnsi="仿宋" w:eastAsia="仿宋" w:cs="仿宋"/>
                <w:color w:val="auto"/>
                <w:kern w:val="0"/>
                <w:sz w:val="24"/>
                <w:szCs w:val="24"/>
                <w:lang w:eastAsia="zh-CN"/>
              </w:rPr>
              <w:t>举办实施中等学历教育</w:t>
            </w:r>
            <w:r>
              <w:rPr>
                <w:rFonts w:hint="eastAsia" w:ascii="仿宋" w:hAnsi="仿宋" w:eastAsia="仿宋" w:cs="仿宋"/>
                <w:color w:val="auto"/>
                <w:kern w:val="0"/>
                <w:sz w:val="24"/>
                <w:szCs w:val="24"/>
              </w:rPr>
              <w:t>民办</w:t>
            </w:r>
            <w:r>
              <w:rPr>
                <w:rFonts w:hint="eastAsia" w:ascii="仿宋" w:hAnsi="仿宋" w:eastAsia="仿宋" w:cs="仿宋"/>
                <w:color w:val="auto"/>
                <w:kern w:val="0"/>
                <w:sz w:val="24"/>
                <w:szCs w:val="24"/>
                <w:lang w:eastAsia="zh-CN"/>
              </w:rPr>
              <w:t>学校审批</w:t>
            </w:r>
          </w:p>
        </w:tc>
        <w:tc>
          <w:tcPr>
            <w:tcW w:w="6385" w:type="dxa"/>
            <w:vAlign w:val="center"/>
          </w:tcPr>
          <w:p>
            <w:pPr>
              <w:jc w:val="left"/>
              <w:rPr>
                <w:rFonts w:hint="eastAsia" w:ascii="仿宋" w:hAnsi="仿宋" w:eastAsia="仿宋" w:cs="仿宋"/>
                <w:sz w:val="21"/>
                <w:szCs w:val="21"/>
                <w:vertAlign w:val="baseline"/>
                <w:lang w:val="en-US" w:eastAsia="zh-CN"/>
              </w:rPr>
            </w:pPr>
            <w:r>
              <w:rPr>
                <w:rFonts w:hint="eastAsia" w:ascii="仿宋" w:hAnsi="仿宋" w:eastAsia="仿宋" w:cs="仿宋"/>
                <w:color w:val="auto"/>
                <w:kern w:val="0"/>
                <w:sz w:val="21"/>
                <w:szCs w:val="21"/>
              </w:rPr>
              <w:t>《中华人民共和国民办教育促进法》（主席令第</w:t>
            </w:r>
            <w:r>
              <w:rPr>
                <w:rFonts w:hint="eastAsia" w:ascii="仿宋" w:hAnsi="仿宋" w:eastAsia="仿宋" w:cs="仿宋"/>
                <w:color w:val="auto"/>
                <w:kern w:val="0"/>
                <w:sz w:val="21"/>
                <w:szCs w:val="21"/>
                <w:lang w:eastAsia="zh-CN"/>
              </w:rPr>
              <w:t>五</w:t>
            </w:r>
            <w:r>
              <w:rPr>
                <w:rFonts w:hint="eastAsia" w:ascii="仿宋" w:hAnsi="仿宋" w:eastAsia="仿宋" w:cs="仿宋"/>
                <w:color w:val="auto"/>
                <w:kern w:val="0"/>
                <w:sz w:val="21"/>
                <w:szCs w:val="21"/>
              </w:rPr>
              <w:t>十</w:t>
            </w:r>
            <w:r>
              <w:rPr>
                <w:rFonts w:hint="eastAsia" w:ascii="仿宋" w:hAnsi="仿宋" w:eastAsia="仿宋" w:cs="仿宋"/>
                <w:color w:val="auto"/>
                <w:kern w:val="0"/>
                <w:sz w:val="21"/>
                <w:szCs w:val="21"/>
                <w:lang w:eastAsia="zh-CN"/>
              </w:rPr>
              <w:t>五</w:t>
            </w:r>
            <w:r>
              <w:rPr>
                <w:rFonts w:hint="eastAsia" w:ascii="仿宋" w:hAnsi="仿宋" w:eastAsia="仿宋" w:cs="仿宋"/>
                <w:color w:val="auto"/>
                <w:kern w:val="0"/>
                <w:sz w:val="21"/>
                <w:szCs w:val="21"/>
              </w:rPr>
              <w:t>号）第</w:t>
            </w:r>
            <w:r>
              <w:rPr>
                <w:rFonts w:hint="eastAsia" w:ascii="仿宋" w:hAnsi="仿宋" w:eastAsia="仿宋" w:cs="仿宋"/>
                <w:color w:val="auto"/>
                <w:kern w:val="0"/>
                <w:sz w:val="21"/>
                <w:szCs w:val="21"/>
                <w:lang w:eastAsia="zh-CN"/>
              </w:rPr>
              <w:t>十</w:t>
            </w:r>
            <w:r>
              <w:rPr>
                <w:rFonts w:hint="eastAsia" w:ascii="仿宋" w:hAnsi="仿宋" w:eastAsia="仿宋" w:cs="仿宋"/>
                <w:color w:val="auto"/>
                <w:kern w:val="0"/>
                <w:sz w:val="21"/>
                <w:szCs w:val="21"/>
              </w:rPr>
              <w:t>条：“举办民办学校的社会组织，应当具有法人资格。举办民办学校的个人，应当具有政治权利和完全民事行为能力。民办学校应当具备法人条件。” 第十</w:t>
            </w:r>
            <w:r>
              <w:rPr>
                <w:rFonts w:hint="eastAsia" w:ascii="仿宋" w:hAnsi="仿宋" w:eastAsia="仿宋" w:cs="仿宋"/>
                <w:color w:val="auto"/>
                <w:kern w:val="0"/>
                <w:sz w:val="21"/>
                <w:szCs w:val="21"/>
                <w:lang w:eastAsia="zh-CN"/>
              </w:rPr>
              <w:t>一</w:t>
            </w:r>
            <w:r>
              <w:rPr>
                <w:rFonts w:hint="eastAsia" w:ascii="仿宋" w:hAnsi="仿宋" w:eastAsia="仿宋" w:cs="仿宋"/>
                <w:color w:val="auto"/>
                <w:kern w:val="0"/>
                <w:sz w:val="21"/>
                <w:szCs w:val="21"/>
              </w:rPr>
              <w:t>条：“设立民办学校应当符合当地教育发展的需求，具备教育法和其他有关法律、法规规定的条件。 民办学校的设置标准参照同级同类公办学校的设置标准执行”。 第十</w:t>
            </w:r>
            <w:r>
              <w:rPr>
                <w:rFonts w:hint="eastAsia" w:ascii="仿宋" w:hAnsi="仿宋" w:eastAsia="仿宋" w:cs="仿宋"/>
                <w:color w:val="auto"/>
                <w:kern w:val="0"/>
                <w:sz w:val="21"/>
                <w:szCs w:val="21"/>
                <w:lang w:eastAsia="zh-CN"/>
              </w:rPr>
              <w:t>二</w:t>
            </w:r>
            <w:r>
              <w:rPr>
                <w:rFonts w:hint="eastAsia" w:ascii="仿宋" w:hAnsi="仿宋" w:eastAsia="仿宋" w:cs="仿宋"/>
                <w:color w:val="auto"/>
                <w:kern w:val="0"/>
                <w:sz w:val="21"/>
                <w:szCs w:val="21"/>
              </w:rPr>
              <w:t>条：“</w:t>
            </w:r>
            <w:r>
              <w:rPr>
                <w:rFonts w:hint="eastAsia" w:ascii="仿宋" w:hAnsi="仿宋" w:eastAsia="仿宋" w:cs="仿宋"/>
                <w:b w:val="0"/>
                <w:i w:val="0"/>
                <w:snapToGrid/>
                <w:color w:val="auto"/>
                <w:sz w:val="21"/>
                <w:szCs w:val="21"/>
                <w:shd w:val="clear" w:color="auto" w:fill="FFFFFF"/>
                <w:lang w:eastAsia="zh-CN"/>
              </w:rPr>
              <w:t xml:space="preserve">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r>
              <w:rPr>
                <w:rFonts w:hint="eastAsia" w:ascii="仿宋" w:hAnsi="仿宋" w:eastAsia="仿宋" w:cs="仿宋"/>
                <w:color w:val="auto"/>
                <w:kern w:val="0"/>
                <w:sz w:val="21"/>
                <w:szCs w:val="21"/>
              </w:rPr>
              <w:t>”第十</w:t>
            </w:r>
            <w:r>
              <w:rPr>
                <w:rFonts w:hint="eastAsia" w:ascii="仿宋" w:hAnsi="仿宋" w:eastAsia="仿宋" w:cs="仿宋"/>
                <w:color w:val="auto"/>
                <w:kern w:val="0"/>
                <w:sz w:val="21"/>
                <w:szCs w:val="21"/>
                <w:lang w:eastAsia="zh-CN"/>
              </w:rPr>
              <w:t>四</w:t>
            </w:r>
            <w:r>
              <w:rPr>
                <w:rFonts w:hint="eastAsia" w:ascii="仿宋" w:hAnsi="仿宋" w:eastAsia="仿宋" w:cs="仿宋"/>
                <w:color w:val="auto"/>
                <w:kern w:val="0"/>
                <w:sz w:val="21"/>
                <w:szCs w:val="21"/>
              </w:rPr>
              <w:t xml:space="preserve">条:“审批机关应当自受理筹设民办学校的申请之日起三十日内以书面形式作出是否同意的决定。”  </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行政许可</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color w:val="auto"/>
                <w:kern w:val="0"/>
                <w:sz w:val="21"/>
                <w:szCs w:val="21"/>
              </w:rPr>
              <w:t>政策法规科（</w:t>
            </w:r>
            <w:r>
              <w:rPr>
                <w:rFonts w:hint="eastAsia" w:ascii="仿宋" w:hAnsi="仿宋" w:eastAsia="仿宋" w:cs="仿宋"/>
                <w:color w:val="auto"/>
                <w:kern w:val="0"/>
                <w:sz w:val="21"/>
                <w:szCs w:val="21"/>
                <w:lang w:eastAsia="zh-CN"/>
              </w:rPr>
              <w:t>民办教育</w:t>
            </w:r>
            <w:r>
              <w:rPr>
                <w:rFonts w:hint="eastAsia" w:ascii="仿宋" w:hAnsi="仿宋" w:eastAsia="仿宋" w:cs="仿宋"/>
                <w:color w:val="auto"/>
                <w:kern w:val="0"/>
                <w:sz w:val="21"/>
                <w:szCs w:val="21"/>
              </w:rPr>
              <w:t>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563"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b w:val="0"/>
                <w:i w:val="0"/>
                <w:snapToGrid/>
                <w:color w:val="auto"/>
                <w:sz w:val="24"/>
                <w:szCs w:val="24"/>
                <w:u w:val="none"/>
              </w:rPr>
              <w:t>举办健身气功活动审批</w:t>
            </w:r>
          </w:p>
        </w:tc>
        <w:tc>
          <w:tcPr>
            <w:tcW w:w="6385" w:type="dxa"/>
            <w:vAlign w:val="center"/>
          </w:tcPr>
          <w:p>
            <w:pPr>
              <w:jc w:val="left"/>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rPr>
              <w:t xml:space="preserve">《国务院对确需要保留的行政审批项目设定行政许可的决定》（国务院令第412号）第336项。 </w:t>
            </w:r>
            <w:r>
              <w:rPr>
                <w:rFonts w:hint="eastAsia" w:ascii="仿宋" w:hAnsi="仿宋" w:eastAsia="仿宋" w:cs="仿宋"/>
                <w:b w:val="0"/>
                <w:i w:val="0"/>
                <w:snapToGrid/>
                <w:color w:val="auto"/>
                <w:sz w:val="21"/>
                <w:szCs w:val="21"/>
                <w:u w:val="none"/>
              </w:rPr>
              <w:br w:type="textWrapping"/>
            </w:r>
            <w:r>
              <w:rPr>
                <w:rFonts w:hint="eastAsia" w:ascii="仿宋" w:hAnsi="仿宋" w:eastAsia="仿宋" w:cs="仿宋"/>
                <w:b w:val="0"/>
                <w:i w:val="0"/>
                <w:snapToGrid/>
                <w:color w:val="auto"/>
                <w:sz w:val="21"/>
                <w:szCs w:val="21"/>
                <w:u w:val="none"/>
              </w:rPr>
              <w:t xml:space="preserve">   《健身气功管理办法》（国家体育总局令第9号）第五条：“举办健身气功活动或设立健身气功站点，应当获得体育行政部门的批准。体育行政部门收到举办健身气功活动或设立健身气功站点的申请后，应当于二十个工作日内做出批准或不批准的决定，并书面通知申请人。二十个工作日内不能做出决定的，经体育行政部门负责人批准，可以延长十个工作日，并将延长期限的理由告知申请人”。第十一条第三款：“省（区、市）内举办的健身气功活动，经具有相应管辖权限的体育行政部门批准；跨地区的健身气功活动，经所跨地区共同的上一级体育行政部门批准。”</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行政许可</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rPr>
              <w:t>群众体育科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563"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color w:val="auto"/>
                <w:kern w:val="0"/>
                <w:sz w:val="24"/>
                <w:szCs w:val="24"/>
              </w:rPr>
              <w:t>擅自分立、合并民办学校的；擅自改变民办学校名称、层次、类别和举办人的。发布虚假招生简章或者广告，骗取钱财的；非法颁布或者伪造学历证书、结业证书、培训证书、职业资格证书的；管理混乱严重影响教育教学，产生恶劣社会影响的；提交虚假证明文件或者采取其他欺诈手段隐瞒重要事实骗取办学许可证的；伪造、变造、买卖、出租、出借办学许可证的；恶意终止办学、抽逃资金或者挪用办学经费的处罚。　</w:t>
            </w:r>
          </w:p>
        </w:tc>
        <w:tc>
          <w:tcPr>
            <w:tcW w:w="6385" w:type="dxa"/>
            <w:vAlign w:val="center"/>
          </w:tcPr>
          <w:p>
            <w:pPr>
              <w:widowControl/>
              <w:spacing w:line="240" w:lineRule="exact"/>
              <w:jc w:val="left"/>
              <w:rPr>
                <w:rFonts w:hint="eastAsia" w:ascii="仿宋" w:hAnsi="仿宋" w:eastAsia="仿宋" w:cs="仿宋"/>
                <w:color w:val="auto"/>
                <w:kern w:val="0"/>
                <w:sz w:val="21"/>
                <w:szCs w:val="21"/>
              </w:rPr>
            </w:pPr>
          </w:p>
          <w:p>
            <w:pPr>
              <w:widowControl/>
              <w:spacing w:line="240" w:lineRule="exact"/>
              <w:jc w:val="left"/>
              <w:rPr>
                <w:rFonts w:hint="eastAsia" w:ascii="仿宋" w:hAnsi="仿宋" w:eastAsia="仿宋" w:cs="仿宋"/>
                <w:sz w:val="21"/>
                <w:szCs w:val="21"/>
                <w:vertAlign w:val="baseline"/>
                <w:lang w:val="en-US" w:eastAsia="zh-CN"/>
              </w:rPr>
            </w:pPr>
            <w:bookmarkStart w:id="0" w:name="_GoBack"/>
            <w:bookmarkEnd w:id="0"/>
            <w:r>
              <w:rPr>
                <w:rFonts w:hint="eastAsia" w:ascii="仿宋" w:hAnsi="仿宋" w:eastAsia="仿宋" w:cs="仿宋"/>
                <w:color w:val="auto"/>
                <w:kern w:val="0"/>
                <w:sz w:val="21"/>
                <w:szCs w:val="21"/>
              </w:rPr>
              <w:t>《中华人民共和国民办教育促进法》第六十二条：“民办学校有下列行为之一的，</w:t>
            </w:r>
            <w:r>
              <w:rPr>
                <w:rFonts w:hint="eastAsia" w:ascii="仿宋" w:hAnsi="仿宋" w:eastAsia="仿宋" w:cs="仿宋"/>
                <w:b w:val="0"/>
                <w:i w:val="0"/>
                <w:snapToGrid/>
                <w:color w:val="auto"/>
                <w:sz w:val="21"/>
                <w:szCs w:val="21"/>
                <w:shd w:val="clear" w:color="auto" w:fill="FFFFFF"/>
                <w:lang w:eastAsia="zh-CN"/>
              </w:rPr>
              <w:t>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r>
              <w:rPr>
                <w:rFonts w:hint="eastAsia" w:ascii="仿宋" w:hAnsi="仿宋" w:eastAsia="仿宋" w:cs="仿宋"/>
                <w:color w:val="auto"/>
                <w:kern w:val="0"/>
                <w:sz w:val="21"/>
                <w:szCs w:val="21"/>
              </w:rPr>
              <w:t>（一）擅自分立、合并民办学校的；（二）擅自改变民办学校名称、层次、类别和举办人的；（三）发布虚假招生简章或者广告，骗取钱财的；（四）非法颁布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行政处罚</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color w:val="auto"/>
                <w:kern w:val="0"/>
                <w:sz w:val="21"/>
                <w:szCs w:val="21"/>
              </w:rPr>
              <w:t>政策法规科(</w:t>
            </w:r>
            <w:r>
              <w:rPr>
                <w:rFonts w:hint="eastAsia" w:ascii="仿宋" w:hAnsi="仿宋" w:eastAsia="仿宋" w:cs="仿宋"/>
                <w:color w:val="auto"/>
                <w:kern w:val="0"/>
                <w:sz w:val="21"/>
                <w:szCs w:val="21"/>
                <w:lang w:eastAsia="zh-CN"/>
              </w:rPr>
              <w:t>民办教育</w:t>
            </w:r>
            <w:r>
              <w:rPr>
                <w:rFonts w:hint="eastAsia" w:ascii="仿宋" w:hAnsi="仿宋" w:eastAsia="仿宋" w:cs="仿宋"/>
                <w:color w:val="auto"/>
                <w:kern w:val="0"/>
                <w:sz w:val="21"/>
                <w:szCs w:val="21"/>
              </w:rPr>
              <w:t>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3193" w:type="dxa"/>
            <w:vAlign w:val="center"/>
          </w:tcPr>
          <w:p>
            <w:pPr>
              <w:jc w:val="both"/>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园舍、设施不符合国家卫生标准、安全标准、妨碍幼儿身体健康或威胁幼儿生命安全的；教育内容和方法违背幼儿教育规律，损害幼儿身心健康的处罚。</w:t>
            </w:r>
          </w:p>
        </w:tc>
        <w:tc>
          <w:tcPr>
            <w:tcW w:w="6385" w:type="dxa"/>
            <w:vAlign w:val="center"/>
          </w:tcPr>
          <w:p>
            <w:pPr>
              <w:widowControl/>
              <w:spacing w:line="24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幼儿园管理条例》（中华人民共和国国家教育委员会令第4号）第二十七条：“违反本条例，具有下列情形之一的幼儿园，由教育行政部门视情节轻重，给予限期整顿、停止招生、停止办园的行政处罚： （一）未经登记注册，擅自招收幼儿的；（二）园舍、设施不符合国家卫生标准、安全标准，妨害幼儿身体健康或者威胁幼儿生命安全的；（三）教育内容和方法违背幼儿教育规律，损害幼儿身心健康的。”</w:t>
            </w:r>
          </w:p>
        </w:tc>
        <w:tc>
          <w:tcPr>
            <w:tcW w:w="1123" w:type="dxa"/>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行政处罚</w:t>
            </w:r>
          </w:p>
        </w:tc>
        <w:tc>
          <w:tcPr>
            <w:tcW w:w="1507" w:type="dxa"/>
            <w:vAlign w:val="center"/>
          </w:tcPr>
          <w:p>
            <w:pPr>
              <w:jc w:val="both"/>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基础教育科</w:t>
            </w:r>
          </w:p>
        </w:tc>
        <w:tc>
          <w:tcPr>
            <w:tcW w:w="940" w:type="dxa"/>
            <w:vAlign w:val="center"/>
          </w:tcPr>
          <w:p>
            <w:pPr>
              <w:jc w:val="center"/>
              <w:rPr>
                <w:rFonts w:hint="eastAsia" w:ascii="仿宋" w:hAnsi="仿宋" w:eastAsia="仿宋" w:cs="仿宋"/>
                <w:sz w:val="21"/>
                <w:szCs w:val="21"/>
                <w:vertAlign w:val="baseline"/>
                <w:lang w:val="en-US" w:eastAsia="zh-CN"/>
              </w:rPr>
            </w:pP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w:t>
            </w:r>
          </w:p>
        </w:tc>
        <w:tc>
          <w:tcPr>
            <w:tcW w:w="3193" w:type="dxa"/>
            <w:vAlign w:val="center"/>
          </w:tcPr>
          <w:p>
            <w:pPr>
              <w:snapToGrid w:val="0"/>
              <w:spacing w:line="160" w:lineRule="exact"/>
              <w:jc w:val="center"/>
              <w:rPr>
                <w:rFonts w:hint="eastAsia" w:ascii="仿宋" w:hAnsi="仿宋" w:eastAsia="仿宋" w:cs="仿宋"/>
                <w:color w:val="auto"/>
                <w:kern w:val="0"/>
                <w:sz w:val="24"/>
                <w:szCs w:val="24"/>
              </w:rPr>
            </w:pPr>
          </w:p>
          <w:p>
            <w:pPr>
              <w:jc w:val="both"/>
              <w:rPr>
                <w:rFonts w:hint="eastAsia" w:ascii="仿宋" w:hAnsi="仿宋" w:eastAsia="仿宋" w:cs="仿宋"/>
                <w:color w:val="auto"/>
                <w:kern w:val="0"/>
                <w:sz w:val="24"/>
                <w:szCs w:val="24"/>
              </w:rPr>
            </w:pPr>
          </w:p>
          <w:p>
            <w:pPr>
              <w:jc w:val="both"/>
              <w:rPr>
                <w:rFonts w:hint="eastAsia" w:ascii="仿宋" w:hAnsi="仿宋" w:eastAsia="仿宋" w:cs="仿宋"/>
                <w:color w:val="auto"/>
                <w:kern w:val="0"/>
                <w:sz w:val="24"/>
                <w:szCs w:val="24"/>
              </w:rPr>
            </w:pPr>
          </w:p>
          <w:p>
            <w:pPr>
              <w:jc w:val="both"/>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体罚或变相体罚幼儿的；使用有毒、有害物质制作教具、玩具的；克扣、挪用幼儿园经费的；侵占、破坏幼儿园园舍、设备的；干扰幼儿园正常工作秩序的；在幼儿园周围设置有危险、有污染或者影响幼儿园采光的建设和设施的处罚。</w:t>
            </w:r>
          </w:p>
        </w:tc>
        <w:tc>
          <w:tcPr>
            <w:tcW w:w="6385" w:type="dxa"/>
            <w:vAlign w:val="center"/>
          </w:tcPr>
          <w:p>
            <w:pPr>
              <w:widowControl/>
              <w:snapToGrid w:val="0"/>
              <w:spacing w:line="200" w:lineRule="exact"/>
              <w:jc w:val="left"/>
              <w:rPr>
                <w:rFonts w:hint="eastAsia" w:ascii="仿宋" w:hAnsi="仿宋" w:eastAsia="仿宋" w:cs="仿宋"/>
                <w:color w:val="auto"/>
                <w:kern w:val="0"/>
                <w:sz w:val="21"/>
                <w:szCs w:val="21"/>
              </w:rPr>
            </w:pPr>
          </w:p>
          <w:p>
            <w:pPr>
              <w:widowControl/>
              <w:spacing w:line="240" w:lineRule="exact"/>
              <w:jc w:val="left"/>
              <w:rPr>
                <w:rFonts w:hint="eastAsia" w:ascii="仿宋" w:hAnsi="仿宋" w:eastAsia="仿宋" w:cs="仿宋"/>
                <w:color w:val="auto"/>
                <w:kern w:val="0"/>
                <w:sz w:val="21"/>
                <w:szCs w:val="21"/>
              </w:rPr>
            </w:pPr>
          </w:p>
          <w:p>
            <w:pPr>
              <w:widowControl/>
              <w:spacing w:line="24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幼儿园管理条例》（中华人民共和国国家教育委员会令第4号）第二十八条：“违反本条例，具有下列情形之一的单位或者个人，由教育行政部门对直接责任人员给予警告、罚款的行政处罚，或者由教育行政部门建议有关部门对责任人员给予行政处分：（一）体罚或变相体罚幼儿的；（二）使用有毒、有害物质制作教具、玩具的；（三）克扣、挪用幼儿园经费的；（四）侵占、破坏幼儿园园舍、设备的；（五）干扰幼儿园正常工作秩序的（六）在幼儿园周围设置有危险、有污染或者影响幼儿园采光的建设和设施的。”</w:t>
            </w:r>
          </w:p>
        </w:tc>
        <w:tc>
          <w:tcPr>
            <w:tcW w:w="1123" w:type="dxa"/>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行政处罚</w:t>
            </w:r>
          </w:p>
        </w:tc>
        <w:tc>
          <w:tcPr>
            <w:tcW w:w="1507" w:type="dxa"/>
            <w:vAlign w:val="center"/>
          </w:tcPr>
          <w:p>
            <w:pPr>
              <w:jc w:val="both"/>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基础教育科</w:t>
            </w:r>
          </w:p>
        </w:tc>
        <w:tc>
          <w:tcPr>
            <w:tcW w:w="940" w:type="dxa"/>
            <w:vAlign w:val="center"/>
          </w:tcPr>
          <w:p>
            <w:pPr>
              <w:jc w:val="center"/>
              <w:rPr>
                <w:rFonts w:hint="eastAsia" w:ascii="仿宋" w:hAnsi="仿宋" w:eastAsia="仿宋" w:cs="仿宋"/>
                <w:sz w:val="21"/>
                <w:szCs w:val="21"/>
                <w:vertAlign w:val="baseline"/>
                <w:lang w:val="en-US" w:eastAsia="zh-CN"/>
              </w:rPr>
            </w:pP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w:t>
            </w:r>
          </w:p>
        </w:tc>
        <w:tc>
          <w:tcPr>
            <w:tcW w:w="3193" w:type="dxa"/>
            <w:vAlign w:val="center"/>
          </w:tcPr>
          <w:p>
            <w:pPr>
              <w:jc w:val="both"/>
              <w:rPr>
                <w:rFonts w:hint="eastAsia" w:ascii="仿宋" w:hAnsi="仿宋" w:eastAsia="仿宋" w:cs="仿宋"/>
                <w:sz w:val="24"/>
                <w:szCs w:val="24"/>
                <w:vertAlign w:val="baseline"/>
                <w:lang w:eastAsia="zh-CN"/>
              </w:rPr>
            </w:pPr>
            <w:r>
              <w:rPr>
                <w:rFonts w:hint="eastAsia" w:ascii="仿宋" w:hAnsi="仿宋" w:eastAsia="仿宋" w:cs="仿宋"/>
                <w:color w:val="auto"/>
                <w:kern w:val="0"/>
                <w:sz w:val="24"/>
                <w:szCs w:val="24"/>
                <w:lang w:eastAsia="zh-CN"/>
              </w:rPr>
              <w:t>公共体育设施管理单位违反规定出租公共体育设施的处罚</w:t>
            </w:r>
          </w:p>
        </w:tc>
        <w:tc>
          <w:tcPr>
            <w:tcW w:w="6385" w:type="dxa"/>
            <w:vAlign w:val="center"/>
          </w:tcPr>
          <w:p>
            <w:pPr>
              <w:jc w:val="left"/>
              <w:rPr>
                <w:rFonts w:hint="eastAsia" w:ascii="仿宋" w:hAnsi="仿宋" w:eastAsia="仿宋" w:cs="仿宋"/>
                <w:sz w:val="21"/>
                <w:szCs w:val="21"/>
                <w:vertAlign w:val="baseline"/>
                <w:lang w:eastAsia="zh-CN"/>
              </w:rPr>
            </w:pPr>
            <w:r>
              <w:rPr>
                <w:rFonts w:hint="eastAsia" w:ascii="仿宋" w:hAnsi="仿宋" w:eastAsia="仿宋" w:cs="仿宋"/>
                <w:b w:val="0"/>
                <w:i w:val="0"/>
                <w:snapToGrid/>
                <w:color w:val="auto"/>
                <w:sz w:val="21"/>
                <w:szCs w:val="21"/>
                <w:u w:val="none"/>
              </w:rPr>
              <w:t xml:space="preserve"> </w:t>
            </w:r>
            <w:r>
              <w:rPr>
                <w:rFonts w:hint="eastAsia" w:ascii="仿宋" w:hAnsi="仿宋" w:eastAsia="仿宋" w:cs="仿宋"/>
                <w:sz w:val="21"/>
                <w:szCs w:val="21"/>
                <w:vertAlign w:val="baseline"/>
                <w:lang w:eastAsia="zh-CN"/>
              </w:rPr>
              <w:t>《公共文化体育设施条例》（国务院令第382号）第三十一条：“公共文化体育设施管理单位，有下列行为之一的，由文化行政主管部门、体育行政主管部门依据各自职责责令限期改正，没收违法所得，违法所得5000元以上的，并处违法所得２倍以上５倍以下的罚款；没有违法所得或者违法所得5000元以下的，可以处１万元以下的罚款；对负有责任的主管人员和其他直接责任人员，依法给予行政处分：（二）违反本条例规定出租公共文化体育设施的。”</w:t>
            </w:r>
          </w:p>
        </w:tc>
        <w:tc>
          <w:tcPr>
            <w:tcW w:w="1123" w:type="dxa"/>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行政处罚</w:t>
            </w:r>
          </w:p>
        </w:tc>
        <w:tc>
          <w:tcPr>
            <w:tcW w:w="1507" w:type="dxa"/>
            <w:vAlign w:val="center"/>
          </w:tcPr>
          <w:p>
            <w:pPr>
              <w:jc w:val="both"/>
              <w:rPr>
                <w:rFonts w:hint="eastAsia" w:ascii="仿宋" w:hAnsi="仿宋" w:eastAsia="仿宋" w:cs="仿宋"/>
                <w:color w:val="auto"/>
                <w:kern w:val="0"/>
                <w:sz w:val="21"/>
                <w:szCs w:val="21"/>
              </w:rPr>
            </w:pPr>
            <w:r>
              <w:rPr>
                <w:rFonts w:hint="eastAsia" w:ascii="仿宋" w:hAnsi="仿宋" w:eastAsia="仿宋" w:cs="仿宋"/>
                <w:sz w:val="21"/>
                <w:szCs w:val="21"/>
                <w:vertAlign w:val="baseline"/>
                <w:lang w:eastAsia="zh-CN"/>
              </w:rPr>
              <w:t>体育产业科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8</w:t>
            </w:r>
          </w:p>
        </w:tc>
        <w:tc>
          <w:tcPr>
            <w:tcW w:w="3193" w:type="dxa"/>
            <w:vAlign w:val="center"/>
          </w:tcPr>
          <w:p>
            <w:pPr>
              <w:jc w:val="both"/>
              <w:rPr>
                <w:rFonts w:hint="eastAsia" w:ascii="仿宋" w:hAnsi="仿宋" w:eastAsia="仿宋" w:cs="仿宋"/>
                <w:sz w:val="24"/>
                <w:szCs w:val="24"/>
                <w:vertAlign w:val="baseline"/>
                <w:lang w:eastAsia="zh-CN"/>
              </w:rPr>
            </w:pPr>
            <w:r>
              <w:rPr>
                <w:rFonts w:hint="eastAsia" w:ascii="仿宋" w:hAnsi="仿宋" w:eastAsia="仿宋" w:cs="仿宋"/>
                <w:color w:val="auto"/>
                <w:kern w:val="0"/>
                <w:sz w:val="24"/>
                <w:szCs w:val="24"/>
                <w:lang w:eastAsia="zh-CN"/>
              </w:rPr>
              <w:t>公共体育设施管理单位开展与公共体育设施功能、用途不相适应的服务活动的处罚</w:t>
            </w:r>
          </w:p>
        </w:tc>
        <w:tc>
          <w:tcPr>
            <w:tcW w:w="6385" w:type="dxa"/>
            <w:vAlign w:val="center"/>
          </w:tcPr>
          <w:p>
            <w:pPr>
              <w:jc w:val="left"/>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公共文化体育设施条例》（国务院令第382号）第三十一条：“公共文化体育设施管理单位，有下列行为之一的，由文化行政主管部门、体育行政主管部门依据各自职责责令限期改正，没收违法所得，违法所得5000元以上的，并处违法所得２倍以上５倍以下的罚款；没有违法所得或者违法所得5000元以下的，可以处１万元以下的罚款；对负有责任的主管人员和其他直接责任人员，依法给予行政处分：（一）开展与公共文化体育设施功能、用途不相适应的服务活动的；”</w:t>
            </w:r>
          </w:p>
        </w:tc>
        <w:tc>
          <w:tcPr>
            <w:tcW w:w="1123" w:type="dxa"/>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行政处罚</w:t>
            </w:r>
          </w:p>
        </w:tc>
        <w:tc>
          <w:tcPr>
            <w:tcW w:w="1507" w:type="dxa"/>
            <w:vAlign w:val="center"/>
          </w:tcPr>
          <w:p>
            <w:pPr>
              <w:jc w:val="both"/>
              <w:rPr>
                <w:rFonts w:hint="eastAsia" w:ascii="仿宋" w:hAnsi="仿宋" w:eastAsia="仿宋" w:cs="仿宋"/>
                <w:color w:val="auto"/>
                <w:kern w:val="0"/>
                <w:sz w:val="21"/>
                <w:szCs w:val="21"/>
              </w:rPr>
            </w:pPr>
            <w:r>
              <w:rPr>
                <w:rFonts w:hint="eastAsia" w:ascii="仿宋" w:hAnsi="仿宋" w:eastAsia="仿宋" w:cs="仿宋"/>
                <w:sz w:val="21"/>
                <w:szCs w:val="21"/>
                <w:vertAlign w:val="baseline"/>
                <w:lang w:eastAsia="zh-CN"/>
              </w:rPr>
              <w:t>体育产业科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w:t>
            </w:r>
          </w:p>
        </w:tc>
        <w:tc>
          <w:tcPr>
            <w:tcW w:w="3193" w:type="dxa"/>
            <w:vAlign w:val="center"/>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加处罚款（执行）</w:t>
            </w:r>
          </w:p>
        </w:tc>
        <w:tc>
          <w:tcPr>
            <w:tcW w:w="6385" w:type="dxa"/>
            <w:vAlign w:val="center"/>
          </w:tcPr>
          <w:p>
            <w:pPr>
              <w:spacing w:line="240" w:lineRule="exact"/>
              <w:ind w:firstLine="420" w:firstLineChars="200"/>
              <w:jc w:val="left"/>
              <w:rPr>
                <w:rFonts w:hint="eastAsia" w:ascii="仿宋" w:hAnsi="仿宋" w:eastAsia="仿宋" w:cs="仿宋"/>
                <w:color w:val="auto"/>
                <w:sz w:val="21"/>
                <w:szCs w:val="21"/>
              </w:rPr>
            </w:pPr>
            <w:r>
              <w:rPr>
                <w:rFonts w:hint="eastAsia" w:ascii="仿宋" w:hAnsi="仿宋" w:eastAsia="仿宋" w:cs="仿宋"/>
                <w:color w:val="auto"/>
                <w:kern w:val="0"/>
                <w:sz w:val="21"/>
                <w:szCs w:val="21"/>
              </w:rPr>
              <w:t>《中华人民共和国行政处罚法》(中华人民共和国主席令第63号)第五十一条第一项：“当事人逾期不履行行政处罚决定的，作出行政处罚决定的行政机关可以采取下列措施：（一）到期不缴纳罚款的，每日按罚款数额的百分之三加处罚款；”</w:t>
            </w:r>
          </w:p>
          <w:p>
            <w:pPr>
              <w:jc w:val="left"/>
              <w:rPr>
                <w:rFonts w:hint="eastAsia" w:ascii="仿宋" w:hAnsi="仿宋" w:eastAsia="仿宋" w:cs="仿宋"/>
                <w:sz w:val="21"/>
                <w:szCs w:val="21"/>
                <w:vertAlign w:val="baseline"/>
                <w:lang w:eastAsia="zh-CN"/>
              </w:rPr>
            </w:pPr>
            <w:r>
              <w:rPr>
                <w:rFonts w:hint="eastAsia" w:ascii="仿宋" w:hAnsi="仿宋" w:eastAsia="仿宋" w:cs="仿宋"/>
                <w:color w:val="auto"/>
                <w:sz w:val="21"/>
                <w:szCs w:val="21"/>
              </w:rPr>
              <w:t>《中华人民共和国行政强制法》第四十五条</w:t>
            </w:r>
            <w:r>
              <w:rPr>
                <w:rFonts w:hint="eastAsia" w:ascii="仿宋" w:hAnsi="仿宋" w:eastAsia="仿宋" w:cs="仿宋"/>
                <w:b/>
                <w:bCs/>
                <w:color w:val="auto"/>
                <w:sz w:val="21"/>
                <w:szCs w:val="21"/>
              </w:rPr>
              <w:t>：“</w:t>
            </w:r>
            <w:r>
              <w:rPr>
                <w:rFonts w:hint="eastAsia" w:ascii="仿宋" w:hAnsi="仿宋" w:eastAsia="仿宋" w:cs="仿宋"/>
                <w:color w:val="auto"/>
                <w:sz w:val="21"/>
                <w:szCs w:val="21"/>
              </w:rPr>
              <w:t>行政机关依法作出金钱给付义务的行政决定，当事人逾期不履行的，行政机关可以依法加处罚款或者滞纳金。加处罚款或者滞纳金的标准应当告知当事人。</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 xml:space="preserve"> 加处罚款或者滞纳金的数额不得超出金钱给付义务的数额。”</w:t>
            </w:r>
            <w:r>
              <w:rPr>
                <w:rFonts w:hint="eastAsia" w:ascii="仿宋" w:hAnsi="仿宋" w:eastAsia="仿宋" w:cs="仿宋"/>
                <w:color w:val="auto"/>
                <w:kern w:val="0"/>
                <w:sz w:val="21"/>
                <w:szCs w:val="21"/>
              </w:rPr>
              <w:t xml:space="preserve">    《中华人民共和国行政强制法》第四十五条：“行政机关依法作出金钱给付义务的行政决定，当事人逾期不履行的，行政机关可以依法加处罚款或者滞纳金。加处罚款或者滞纳金的标准应当告知当事人。加处罚款或者滞纳金的数额不得超出金钱给付义务的数额。”</w:t>
            </w:r>
          </w:p>
        </w:tc>
        <w:tc>
          <w:tcPr>
            <w:tcW w:w="1123" w:type="dxa"/>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行政强制</w:t>
            </w:r>
          </w:p>
        </w:tc>
        <w:tc>
          <w:tcPr>
            <w:tcW w:w="1507" w:type="dxa"/>
            <w:vAlign w:val="center"/>
          </w:tcPr>
          <w:p>
            <w:pPr>
              <w:jc w:val="both"/>
              <w:rPr>
                <w:rFonts w:hint="eastAsia" w:ascii="仿宋" w:hAnsi="仿宋" w:eastAsia="仿宋" w:cs="仿宋"/>
                <w:color w:val="auto"/>
                <w:kern w:val="0"/>
                <w:sz w:val="21"/>
                <w:szCs w:val="21"/>
                <w:lang w:eastAsia="zh-CN"/>
              </w:rPr>
            </w:pPr>
            <w:r>
              <w:rPr>
                <w:rFonts w:hint="eastAsia" w:ascii="仿宋" w:hAnsi="仿宋" w:eastAsia="仿宋" w:cs="仿宋"/>
                <w:color w:val="auto"/>
                <w:sz w:val="21"/>
                <w:szCs w:val="21"/>
              </w:rPr>
              <w:t>基础教育科</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政策法规科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w:t>
            </w:r>
          </w:p>
        </w:tc>
        <w:tc>
          <w:tcPr>
            <w:tcW w:w="319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kern w:val="0"/>
                <w:sz w:val="24"/>
                <w:szCs w:val="24"/>
              </w:rPr>
              <w:t>全市普通高中学校国家助学金设置管理</w:t>
            </w:r>
          </w:p>
        </w:tc>
        <w:tc>
          <w:tcPr>
            <w:tcW w:w="6385" w:type="dxa"/>
            <w:vAlign w:val="center"/>
          </w:tcPr>
          <w:p>
            <w:pPr>
              <w:jc w:val="left"/>
              <w:rPr>
                <w:rFonts w:hint="eastAsia" w:ascii="仿宋" w:hAnsi="仿宋" w:eastAsia="仿宋" w:cs="仿宋"/>
                <w:sz w:val="21"/>
                <w:szCs w:val="21"/>
                <w:vertAlign w:val="baseline"/>
                <w:lang w:val="en-US" w:eastAsia="zh-CN"/>
              </w:rPr>
            </w:pPr>
            <w:r>
              <w:rPr>
                <w:rFonts w:hint="eastAsia" w:ascii="仿宋" w:hAnsi="仿宋" w:eastAsia="仿宋" w:cs="仿宋"/>
                <w:color w:val="FF0000"/>
                <w:kern w:val="0"/>
                <w:sz w:val="21"/>
                <w:szCs w:val="21"/>
              </w:rPr>
              <w:t>《河南省财政厅、河南省教育厅关于印发&lt;河南省普通高中国家助学金管理暂行办法&gt;的通知》(豫财教〔2010〕399号)第二条:“本办法适用于根据国家有</w:t>
            </w:r>
            <w:r>
              <w:rPr>
                <w:rFonts w:hint="eastAsia" w:ascii="仿宋" w:hAnsi="仿宋" w:eastAsia="仿宋" w:cs="仿宋"/>
                <w:color w:val="auto"/>
                <w:kern w:val="0"/>
                <w:sz w:val="21"/>
                <w:szCs w:val="21"/>
              </w:rPr>
              <w:t>关规定批准设立、实施普通高中学历教育的全日制普通高中学校和完全中学的高中部。”第三条：“普通高中国家助学金的资助对象为具有正式注册学籍的普通高中在校生中的家庭经济困难学生。”第六条：“普通高中国家助学金平均资助标准为每生每年2000元(2015（春调整成2000），用于资助家庭经济困难学生的学习和生活费用开支，具体标准由各市、县或学校结合实际在1000元-3000元范围内确定，可以分为2-3档）。”</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行政给付</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color w:val="auto"/>
                <w:kern w:val="0"/>
                <w:sz w:val="21"/>
                <w:szCs w:val="21"/>
              </w:rPr>
              <w:t>平顶山市学生资助管理中心</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11</w:t>
            </w:r>
          </w:p>
        </w:tc>
        <w:tc>
          <w:tcPr>
            <w:tcW w:w="319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kern w:val="0"/>
                <w:sz w:val="24"/>
                <w:szCs w:val="24"/>
              </w:rPr>
              <w:t>全市中职学校国家助学金、免学费设置管理</w:t>
            </w:r>
          </w:p>
        </w:tc>
        <w:tc>
          <w:tcPr>
            <w:tcW w:w="6385" w:type="dxa"/>
            <w:vAlign w:val="center"/>
          </w:tcPr>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xml:space="preserve"> </w:t>
            </w:r>
            <w:r>
              <w:rPr>
                <w:rFonts w:hint="eastAsia" w:ascii="仿宋" w:hAnsi="仿宋" w:eastAsia="仿宋" w:cs="仿宋"/>
                <w:color w:val="FF0000"/>
                <w:kern w:val="0"/>
                <w:sz w:val="21"/>
                <w:szCs w:val="21"/>
              </w:rPr>
              <w:t xml:space="preserve"> 《关于扩大中等职业教育免学费助学金政策范围 进一步完善国家助学金制度的意见》（豫财教〔2012〕360号）中附件1： </w:t>
            </w:r>
            <w:r>
              <w:rPr>
                <w:rFonts w:hint="eastAsia" w:ascii="仿宋" w:hAnsi="仿宋" w:eastAsia="仿宋" w:cs="仿宋"/>
                <w:color w:val="auto"/>
                <w:kern w:val="0"/>
                <w:sz w:val="21"/>
                <w:szCs w:val="21"/>
              </w:rPr>
              <w:t>一、免学费范围和对象（一）学校范围</w:t>
            </w:r>
          </w:p>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本方案所称中等职业学校是指政府教育和人力资源社会保障部门根据国家有关规定批准设立并备案，实施全日制中等学历教育的各类职业学校，包括公办和民办的普通中专（含中师）、成人中专、职业高中（含职业中专）、技工学校、普通本专科院校附属的中专部和中等职业学校等。（二）免学费对象</w:t>
            </w:r>
          </w:p>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1.免学费对象包括公办中等职业学校全日制正式学籍一、二、三年级在校生中所有农村（含县镇）学生、城市涉农专业学生和家庭经济困难学生，不含艺术类相关表演专业学生。</w:t>
            </w:r>
          </w:p>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中央和省财政按在校城市学生（扣除涉农专业和艺术类相关表演专业学生）10%的比例确定城市家庭经济困难学生。各市县可根据实际情况合理确定本行政区域内城市家庭经济困难学生的具体比例。已享受中等职业教育国家助学金的城市家庭经济困难在校学生，符合免学费政策条件的，可同时申请免学费。</w:t>
            </w:r>
          </w:p>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各地在确定享受免学费政策的城市家庭经济困难学生时，要优先考虑享受居民最低生活保障政策家庭学生、孤残学生、烈士子女、计划生育家庭学生、少数民族学生，以及家庭成员长期患重病、遭遇自然灾害或突发变故等导致家庭经济困难的学生。</w:t>
            </w:r>
          </w:p>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根据教育部发布的《中等职业学校专业目录（2010年修订）》（教职成〔2010〕4号）及专业设置管理办法等规定，涉农专业范围为：农林牧渔类所有32个专业，以及轻纺食品类的粮油饲料加工技术、粮油储运与检验技术专业和医药卫生类的农村医学专业等3个专业。</w:t>
            </w:r>
          </w:p>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3+2”分段五年制在校生，中专教育阶段按规定享受免学费政策；普通高中毕业生或同等学力一年学制的中等职业学校在校生，参加顶岗实习或工学交替的，原则上参照中等职业学校三年级在校生享受免学费政策。</w:t>
            </w:r>
          </w:p>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2.对在政府教育和人力资源社会保障部门依法批准、符合国家标准的民办中等职业学校就读的一、二年级符合免学费政策条件的学生，按照当地同类型同专业公办中等职业学校免学费标准给予补助。</w:t>
            </w:r>
          </w:p>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二、免学费标准</w:t>
            </w:r>
          </w:p>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免学费标准按照以下文件规定的学费标准执行：</w:t>
            </w:r>
          </w:p>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（一）原省教委、原省物价局、省财政厅《关于规范我省普通高级中学和中等职业学校收费项目及标准的通知》（豫教财字〔1998〕96号、豫价费字〔1998〕269号、豫财预外字〔1998〕23号）；</w:t>
            </w:r>
          </w:p>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（二）原省教委、原省物价局、省财政厅《关于我省普通中等专业学校(含中师)并轨生学费标准及有关问题的通知》（豫教财字〔1998〕61号、豫价费字〔1998〕51号）；</w:t>
            </w:r>
          </w:p>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（三）原省物价局、省财政厅、原省劳动厅《关于规范我省技工学校并轨生学费标准及有关问题的通知》（豫价费〔1998〕278号）。</w:t>
            </w:r>
          </w:p>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公办中等职业学校实际收取的学费低于价格主管部门批准的学费标准的，仍按价格主管部门批准的学费标准给予免学费补助。</w:t>
            </w:r>
          </w:p>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附件二第二条  本办法所称中等职业学校是指政府教育和人力资源社会保障部门根据国家有关规定批准设立并备案，实施全日制中等学历教育的各类职业学校，包括公办和民办的普通中专（含中师）、成人中专、职业高中（含职业中专）、技工学校、普通本专科院校附属的中专部和中等职业学校等。</w:t>
            </w:r>
          </w:p>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第三条  国家助学金资助对象是具有中等职业学校全日制正式学籍的一、二年级在校涉农专业学生和非涉农专业家庭经济困难学生。已享受中等职业教育免学费政策的在校学生，符合国家助学金政策条件的，可同时申请国家助学金。</w:t>
            </w:r>
          </w:p>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第五条  为切实减轻贫困地区中等职业学校学生家庭经济负担，根据《中国农村扶贫开发纲要（2011-2020）》有关精神，将六盘山区等11个连片特困地区（其中包括我省26个国家连片特困地区重点县）和西藏、四省藏区、新疆南疆三地州中等职业学校一、二年级在校农村学生（不含县城）全部纳入享受助学金范围。</w:t>
            </w:r>
          </w:p>
          <w:p>
            <w:pPr>
              <w:widowControl/>
              <w:snapToGrid w:val="0"/>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第六条  中央和省财政按一、二年级在校学生（扣除涉农专业学生和连片特困地区农村学生）15%的比例确定家庭经济困难学生。各市县可根据实际情况，合理确定本行政区域内家庭经济困难学生的具体比例。各地在确定享受国家助学金政策的非涉农专业家庭经济困难学生时，要优先考虑享受城乡居民最低生活保障政策家庭学生、孤残学生、烈士子女、计划生育家庭学生、少数民族学生，以及家庭成员长期患重病、遭遇自然灾害或突发变故等导致家庭经济困难的学生。</w:t>
            </w:r>
          </w:p>
          <w:p>
            <w:pPr>
              <w:spacing w:line="240" w:lineRule="auto"/>
              <w:jc w:val="left"/>
              <w:rPr>
                <w:rFonts w:hint="eastAsia" w:ascii="仿宋" w:hAnsi="仿宋" w:eastAsia="仿宋" w:cs="仿宋"/>
                <w:sz w:val="21"/>
                <w:szCs w:val="21"/>
                <w:vertAlign w:val="baseline"/>
                <w:lang w:eastAsia="zh-CN"/>
              </w:rPr>
            </w:pPr>
            <w:r>
              <w:rPr>
                <w:rFonts w:hint="eastAsia" w:ascii="仿宋" w:hAnsi="仿宋" w:eastAsia="仿宋" w:cs="仿宋"/>
                <w:color w:val="auto"/>
                <w:kern w:val="0"/>
                <w:sz w:val="21"/>
                <w:szCs w:val="21"/>
              </w:rPr>
              <w:t>第七条  国家助学金由中央和地方政府共同出资设立，主要用于资助受助学生的生活费用开支，资助标准每生每年1500元(从15春季学期开始按2000元执行,正式文件未下达)（中职免学费从2015秋季学期开始全部免除。正式文件未下达）</w:t>
            </w:r>
          </w:p>
        </w:tc>
        <w:tc>
          <w:tcPr>
            <w:tcW w:w="1123" w:type="dxa"/>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行政给付</w:t>
            </w:r>
          </w:p>
        </w:tc>
        <w:tc>
          <w:tcPr>
            <w:tcW w:w="1507" w:type="dxa"/>
            <w:vAlign w:val="center"/>
          </w:tcPr>
          <w:p>
            <w:pPr>
              <w:jc w:val="both"/>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平顶山市学生资助管理中心</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w:t>
            </w:r>
          </w:p>
        </w:tc>
        <w:tc>
          <w:tcPr>
            <w:tcW w:w="319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kern w:val="0"/>
                <w:sz w:val="24"/>
                <w:szCs w:val="24"/>
              </w:rPr>
              <w:t>全市学前教育资助设置管理</w:t>
            </w:r>
          </w:p>
        </w:tc>
        <w:tc>
          <w:tcPr>
            <w:tcW w:w="6385" w:type="dxa"/>
            <w:vAlign w:val="center"/>
          </w:tcPr>
          <w:p>
            <w:pPr>
              <w:jc w:val="left"/>
              <w:rPr>
                <w:rFonts w:hint="eastAsia" w:ascii="仿宋" w:hAnsi="仿宋" w:eastAsia="仿宋" w:cs="仿宋"/>
                <w:sz w:val="21"/>
                <w:szCs w:val="21"/>
                <w:vertAlign w:val="baseline"/>
                <w:lang w:eastAsia="zh-CN"/>
              </w:rPr>
            </w:pPr>
            <w:r>
              <w:rPr>
                <w:rFonts w:hint="eastAsia" w:ascii="仿宋" w:hAnsi="仿宋" w:eastAsia="仿宋" w:cs="仿宋"/>
                <w:color w:val="FF0000"/>
                <w:kern w:val="0"/>
                <w:sz w:val="21"/>
                <w:szCs w:val="21"/>
              </w:rPr>
              <w:t>《关于建立学前教育资助制度的意见通知》（</w:t>
            </w:r>
            <w:r>
              <w:rPr>
                <w:rFonts w:hint="eastAsia" w:ascii="仿宋" w:hAnsi="仿宋" w:eastAsia="仿宋" w:cs="仿宋"/>
                <w:color w:val="auto"/>
                <w:kern w:val="0"/>
                <w:sz w:val="21"/>
                <w:szCs w:val="21"/>
              </w:rPr>
              <w:t>豫财教〔2011〕477号）第二条：“各市县要对经县级以上教育行政部门审批设立的普惠性幼儿园在园家庭经济困难儿童、孤儿和残疾儿童予以资助。第三条各市县要按照在校时间每生每天不低于2元（一年按200天计算）的标准对家庭经济困难幼儿进行资助。”</w:t>
            </w:r>
          </w:p>
        </w:tc>
        <w:tc>
          <w:tcPr>
            <w:tcW w:w="1123" w:type="dxa"/>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行政给付</w:t>
            </w:r>
          </w:p>
        </w:tc>
        <w:tc>
          <w:tcPr>
            <w:tcW w:w="1507" w:type="dxa"/>
            <w:vAlign w:val="center"/>
          </w:tcPr>
          <w:p>
            <w:pPr>
              <w:jc w:val="both"/>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平顶山市学生资助管理中心</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13</w:t>
            </w:r>
          </w:p>
        </w:tc>
        <w:tc>
          <w:tcPr>
            <w:tcW w:w="3193" w:type="dxa"/>
            <w:vAlign w:val="center"/>
          </w:tcPr>
          <w:p>
            <w:pPr>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学校食堂食品卫生安全工作监督检查</w:t>
            </w:r>
          </w:p>
        </w:tc>
        <w:tc>
          <w:tcPr>
            <w:tcW w:w="6385" w:type="dxa"/>
            <w:vAlign w:val="center"/>
          </w:tcPr>
          <w:p>
            <w:pPr>
              <w:widowControl/>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eastAsia="zh-CN"/>
              </w:rPr>
              <w:t>中华人民共和国教育部、</w:t>
            </w:r>
            <w:r>
              <w:rPr>
                <w:rFonts w:hint="eastAsia" w:ascii="仿宋" w:hAnsi="仿宋" w:eastAsia="仿宋" w:cs="仿宋"/>
                <w:color w:val="auto"/>
                <w:kern w:val="0"/>
                <w:sz w:val="21"/>
                <w:szCs w:val="21"/>
                <w:lang w:val="en-US" w:eastAsia="zh-CN"/>
              </w:rPr>
              <w:t>国家市场监督管理总局、国家卫生健康委员会联合下发的</w:t>
            </w:r>
            <w:r>
              <w:rPr>
                <w:rFonts w:hint="eastAsia" w:ascii="仿宋" w:hAnsi="仿宋" w:eastAsia="仿宋" w:cs="仿宋"/>
                <w:color w:val="auto"/>
                <w:kern w:val="0"/>
                <w:sz w:val="21"/>
                <w:szCs w:val="21"/>
              </w:rPr>
              <w:t>《</w:t>
            </w:r>
            <w:r>
              <w:rPr>
                <w:rFonts w:hint="eastAsia" w:ascii="仿宋" w:hAnsi="仿宋" w:eastAsia="仿宋" w:cs="仿宋"/>
                <w:color w:val="FF0000"/>
                <w:kern w:val="0"/>
                <w:sz w:val="21"/>
                <w:szCs w:val="21"/>
                <w:lang w:val="en-US" w:eastAsia="zh-CN"/>
              </w:rPr>
              <w:t>学校食品安全与营养健康管理规定</w:t>
            </w: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eastAsia="zh-CN"/>
              </w:rPr>
              <w:t>第</w:t>
            </w:r>
            <w:r>
              <w:rPr>
                <w:rFonts w:hint="eastAsia" w:ascii="仿宋" w:hAnsi="仿宋" w:eastAsia="仿宋" w:cs="仿宋"/>
                <w:color w:val="auto"/>
                <w:kern w:val="0"/>
                <w:sz w:val="21"/>
                <w:szCs w:val="21"/>
                <w:lang w:val="en-US" w:eastAsia="zh-CN"/>
              </w:rPr>
              <w:t>45</w:t>
            </w:r>
            <w:r>
              <w:rPr>
                <w:rFonts w:hint="eastAsia" w:ascii="仿宋" w:hAnsi="仿宋" w:eastAsia="仿宋" w:cs="仿宋"/>
                <w:color w:val="auto"/>
                <w:kern w:val="0"/>
                <w:sz w:val="21"/>
                <w:szCs w:val="21"/>
              </w:rPr>
              <w:t>号）第</w:t>
            </w:r>
            <w:r>
              <w:rPr>
                <w:rFonts w:hint="eastAsia" w:ascii="仿宋" w:hAnsi="仿宋" w:eastAsia="仿宋" w:cs="仿宋"/>
                <w:color w:val="auto"/>
                <w:kern w:val="0"/>
                <w:sz w:val="21"/>
                <w:szCs w:val="21"/>
                <w:lang w:eastAsia="zh-CN"/>
              </w:rPr>
              <w:t>七</w:t>
            </w:r>
            <w:r>
              <w:rPr>
                <w:rFonts w:hint="eastAsia" w:ascii="仿宋" w:hAnsi="仿宋" w:eastAsia="仿宋" w:cs="仿宋"/>
                <w:color w:val="auto"/>
                <w:kern w:val="0"/>
                <w:sz w:val="21"/>
                <w:szCs w:val="21"/>
              </w:rPr>
              <w:t>条：教育部门应当指导和督促学校建立健全食品安全与营养健康相关管理制度，将学校食品安全与营养健康管理工作作为学校落实安全风险防控职责、推进健康教育的重要内容，加强评价考核；指导、监督学校加强食品安全教育和日常管理，降低食品安全风险，及时消除食品安全隐患，提升营养健康水平，积极协助相关部门开展工作。</w:t>
            </w:r>
          </w:p>
          <w:p>
            <w:pPr>
              <w:widowControl/>
              <w:ind w:firstLine="315" w:firstLineChars="150"/>
              <w:jc w:val="left"/>
              <w:rPr>
                <w:rFonts w:hint="eastAsia" w:ascii="仿宋" w:hAnsi="仿宋" w:eastAsia="仿宋" w:cs="仿宋"/>
                <w:color w:val="auto"/>
                <w:kern w:val="0"/>
                <w:sz w:val="21"/>
                <w:szCs w:val="21"/>
              </w:rPr>
            </w:pPr>
            <w:r>
              <w:rPr>
                <w:rFonts w:hint="eastAsia" w:ascii="仿宋" w:hAnsi="仿宋" w:eastAsia="仿宋" w:cs="仿宋"/>
                <w:b w:val="0"/>
                <w:bCs w:val="0"/>
                <w:color w:val="auto"/>
                <w:kern w:val="0"/>
                <w:sz w:val="21"/>
                <w:szCs w:val="21"/>
              </w:rPr>
              <w:t>第十条 区域</w:t>
            </w:r>
            <w:r>
              <w:rPr>
                <w:rFonts w:hint="eastAsia" w:ascii="仿宋" w:hAnsi="仿宋" w:eastAsia="仿宋" w:cs="仿宋"/>
                <w:color w:val="auto"/>
                <w:kern w:val="0"/>
                <w:sz w:val="21"/>
                <w:szCs w:val="21"/>
              </w:rPr>
              <w:t>性的中小学卫生保健机构、妇幼保健机构、疾病预防控制机构，根据职责或者相关主管部门要求，组织开展区域内学校食品安全与营养健康的监测、技术培训和业务指导等工作。鼓励有条件的地区成立学生营养健康专业指导机构，根据不同年龄阶段学生的膳食营养指南和健康教育的相关规定，指导学校开展学生营养健康相关活动，引导合理搭配饮食。</w:t>
            </w:r>
          </w:p>
          <w:p>
            <w:pPr>
              <w:jc w:val="left"/>
              <w:rPr>
                <w:rFonts w:hint="eastAsia" w:ascii="仿宋" w:hAnsi="仿宋" w:eastAsia="仿宋" w:cs="仿宋"/>
                <w:color w:val="FF0000"/>
                <w:kern w:val="0"/>
                <w:sz w:val="21"/>
                <w:szCs w:val="21"/>
              </w:rPr>
            </w:pPr>
          </w:p>
        </w:tc>
        <w:tc>
          <w:tcPr>
            <w:tcW w:w="1123" w:type="dxa"/>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行政检查</w:t>
            </w:r>
          </w:p>
        </w:tc>
        <w:tc>
          <w:tcPr>
            <w:tcW w:w="1507" w:type="dxa"/>
            <w:vAlign w:val="center"/>
          </w:tcPr>
          <w:p>
            <w:pPr>
              <w:jc w:val="both"/>
              <w:rPr>
                <w:rFonts w:hint="eastAsia" w:ascii="仿宋" w:hAnsi="仿宋" w:eastAsia="仿宋" w:cs="仿宋"/>
                <w:color w:val="auto"/>
                <w:kern w:val="0"/>
                <w:sz w:val="21"/>
                <w:szCs w:val="21"/>
              </w:rPr>
            </w:pPr>
            <w:r>
              <w:rPr>
                <w:rFonts w:hint="eastAsia" w:ascii="仿宋" w:hAnsi="仿宋" w:eastAsia="仿宋" w:cs="仿宋"/>
                <w:b w:val="0"/>
                <w:bCs w:val="0"/>
                <w:color w:val="auto"/>
                <w:kern w:val="0"/>
                <w:sz w:val="21"/>
                <w:szCs w:val="21"/>
                <w:lang w:eastAsia="zh-CN"/>
              </w:rPr>
              <w:t>市场监督管理局</w:t>
            </w:r>
          </w:p>
        </w:tc>
        <w:tc>
          <w:tcPr>
            <w:tcW w:w="940" w:type="dxa"/>
            <w:vAlign w:val="center"/>
          </w:tcPr>
          <w:p>
            <w:pPr>
              <w:jc w:val="center"/>
              <w:rPr>
                <w:rFonts w:hint="eastAsia" w:ascii="仿宋" w:hAnsi="仿宋" w:eastAsia="仿宋" w:cs="仿宋"/>
                <w:sz w:val="21"/>
                <w:szCs w:val="21"/>
                <w:vertAlign w:val="baseline"/>
                <w:lang w:val="en-US" w:eastAsia="zh-CN"/>
              </w:rPr>
            </w:pP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9"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14</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color w:val="auto"/>
                <w:kern w:val="0"/>
                <w:sz w:val="24"/>
                <w:szCs w:val="24"/>
              </w:rPr>
              <w:t>高中、中专职业学校教师资格认定</w:t>
            </w:r>
          </w:p>
        </w:tc>
        <w:tc>
          <w:tcPr>
            <w:tcW w:w="6385" w:type="dxa"/>
            <w:vAlign w:val="center"/>
          </w:tcPr>
          <w:p>
            <w:pPr>
              <w:widowControl/>
              <w:snapToGrid w:val="0"/>
              <w:spacing w:line="2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xml:space="preserve">  《中华人民共和国教师法》（主席令第十五号）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w:t>
            </w:r>
          </w:p>
          <w:p>
            <w:pPr>
              <w:jc w:val="left"/>
              <w:rPr>
                <w:rFonts w:hint="eastAsia" w:ascii="仿宋" w:hAnsi="仿宋" w:eastAsia="仿宋" w:cs="仿宋"/>
                <w:sz w:val="21"/>
                <w:szCs w:val="21"/>
                <w:vertAlign w:val="baseline"/>
                <w:lang w:val="en-US" w:eastAsia="zh-CN"/>
              </w:rPr>
            </w:pPr>
            <w:r>
              <w:rPr>
                <w:rFonts w:hint="eastAsia" w:ascii="仿宋" w:hAnsi="仿宋" w:eastAsia="仿宋" w:cs="仿宋"/>
                <w:color w:val="auto"/>
                <w:kern w:val="0"/>
                <w:sz w:val="21"/>
                <w:szCs w:val="21"/>
              </w:rPr>
              <w:t>《教师资格条例》（中华人民国务院令第188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行政确认</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color w:val="auto"/>
                <w:kern w:val="0"/>
                <w:sz w:val="21"/>
                <w:szCs w:val="21"/>
                <w:lang w:eastAsia="zh-CN"/>
              </w:rPr>
              <w:t>教师教育</w:t>
            </w:r>
            <w:r>
              <w:rPr>
                <w:rFonts w:hint="eastAsia" w:ascii="仿宋" w:hAnsi="仿宋" w:eastAsia="仿宋" w:cs="仿宋"/>
                <w:color w:val="auto"/>
                <w:kern w:val="0"/>
                <w:sz w:val="21"/>
                <w:szCs w:val="21"/>
              </w:rPr>
              <w:t>科、平顶山市招生办公室、政策法规科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15</w:t>
            </w:r>
          </w:p>
        </w:tc>
        <w:tc>
          <w:tcPr>
            <w:tcW w:w="3193" w:type="dxa"/>
            <w:vAlign w:val="center"/>
          </w:tcPr>
          <w:p>
            <w:pPr>
              <w:jc w:val="both"/>
              <w:rPr>
                <w:rFonts w:hint="eastAsia" w:ascii="仿宋" w:hAnsi="仿宋" w:eastAsia="仿宋" w:cs="仿宋"/>
                <w:sz w:val="24"/>
                <w:szCs w:val="24"/>
                <w:vertAlign w:val="baseline"/>
                <w:lang w:eastAsia="zh-CN"/>
              </w:rPr>
            </w:pPr>
            <w:r>
              <w:rPr>
                <w:rFonts w:hint="eastAsia" w:ascii="仿宋" w:hAnsi="仿宋" w:eastAsia="仿宋" w:cs="仿宋"/>
                <w:color w:val="auto"/>
                <w:kern w:val="0"/>
                <w:sz w:val="24"/>
                <w:szCs w:val="24"/>
              </w:rPr>
              <w:t>全市中职学校专业设置管理</w:t>
            </w:r>
          </w:p>
        </w:tc>
        <w:tc>
          <w:tcPr>
            <w:tcW w:w="6385" w:type="dxa"/>
            <w:vAlign w:val="center"/>
          </w:tcPr>
          <w:p>
            <w:pPr>
              <w:widowControl/>
              <w:snapToGrid w:val="0"/>
              <w:spacing w:line="240" w:lineRule="exact"/>
              <w:ind w:firstLine="357"/>
              <w:jc w:val="left"/>
              <w:rPr>
                <w:rFonts w:hint="eastAsia" w:ascii="仿宋" w:hAnsi="仿宋" w:eastAsia="仿宋" w:cs="仿宋"/>
                <w:color w:val="auto"/>
                <w:sz w:val="21"/>
                <w:szCs w:val="21"/>
              </w:rPr>
            </w:pPr>
            <w:r>
              <w:rPr>
                <w:rFonts w:hint="eastAsia" w:ascii="仿宋" w:hAnsi="仿宋" w:eastAsia="仿宋" w:cs="仿宋"/>
                <w:color w:val="auto"/>
                <w:kern w:val="0"/>
                <w:sz w:val="21"/>
                <w:szCs w:val="21"/>
              </w:rPr>
              <w:t>《</w:t>
            </w:r>
            <w:r>
              <w:rPr>
                <w:rStyle w:val="5"/>
                <w:rFonts w:hint="eastAsia" w:ascii="仿宋" w:hAnsi="仿宋" w:eastAsia="仿宋" w:cs="仿宋"/>
                <w:b w:val="0"/>
                <w:color w:val="auto"/>
                <w:sz w:val="21"/>
                <w:szCs w:val="21"/>
                <w:shd w:val="clear" w:color="auto" w:fill="FFFFFF"/>
              </w:rPr>
              <w:t>教育部办公厅关于印发</w:t>
            </w:r>
            <w:r>
              <w:rPr>
                <w:rStyle w:val="5"/>
                <w:rFonts w:hint="eastAsia" w:ascii="仿宋" w:hAnsi="仿宋" w:eastAsia="仿宋" w:cs="仿宋"/>
                <w:b w:val="0"/>
                <w:color w:val="FF0000"/>
                <w:sz w:val="21"/>
                <w:szCs w:val="21"/>
                <w:shd w:val="clear" w:color="auto" w:fill="FFFFFF"/>
              </w:rPr>
              <w:t>&lt;中等职业学校专业设置管理办法（</w:t>
            </w:r>
            <w:r>
              <w:rPr>
                <w:rStyle w:val="5"/>
                <w:rFonts w:hint="eastAsia" w:ascii="仿宋" w:hAnsi="仿宋" w:eastAsia="仿宋" w:cs="仿宋"/>
                <w:b w:val="0"/>
                <w:color w:val="auto"/>
                <w:sz w:val="21"/>
                <w:szCs w:val="21"/>
                <w:shd w:val="clear" w:color="auto" w:fill="FFFFFF"/>
              </w:rPr>
              <w:t>试行）&gt;的通知》</w:t>
            </w:r>
            <w:r>
              <w:rPr>
                <w:rFonts w:hint="eastAsia" w:ascii="仿宋" w:hAnsi="仿宋" w:eastAsia="仿宋" w:cs="仿宋"/>
                <w:color w:val="auto"/>
                <w:sz w:val="21"/>
                <w:szCs w:val="21"/>
              </w:rPr>
              <w:t>（</w:t>
            </w:r>
            <w:r>
              <w:rPr>
                <w:rFonts w:hint="eastAsia" w:ascii="仿宋" w:hAnsi="仿宋" w:eastAsia="仿宋" w:cs="仿宋"/>
                <w:color w:val="auto"/>
                <w:sz w:val="21"/>
                <w:szCs w:val="21"/>
                <w:shd w:val="clear" w:color="auto" w:fill="FFFFFF"/>
              </w:rPr>
              <w:t>教职成厅〔2010〕9号）</w:t>
            </w:r>
            <w:r>
              <w:rPr>
                <w:rFonts w:hint="eastAsia" w:ascii="仿宋" w:hAnsi="仿宋" w:eastAsia="仿宋" w:cs="仿宋"/>
                <w:color w:val="auto"/>
                <w:kern w:val="0"/>
                <w:sz w:val="21"/>
                <w:szCs w:val="21"/>
              </w:rPr>
              <w:t xml:space="preserve"> 第八条：“ </w:t>
            </w:r>
            <w:r>
              <w:rPr>
                <w:rFonts w:hint="eastAsia" w:ascii="仿宋" w:hAnsi="仿宋" w:eastAsia="仿宋" w:cs="仿宋"/>
                <w:color w:val="auto"/>
                <w:sz w:val="21"/>
                <w:szCs w:val="21"/>
              </w:rPr>
              <w:t>市（地）、县级教育行政部门管理中等职业学校专业设置的职责由各省（区、市）自行确定。”</w:t>
            </w:r>
          </w:p>
          <w:p>
            <w:pPr>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sz w:val="21"/>
                <w:szCs w:val="21"/>
              </w:rPr>
              <w:t>《</w:t>
            </w:r>
            <w:r>
              <w:rPr>
                <w:rFonts w:hint="eastAsia" w:ascii="仿宋" w:hAnsi="仿宋" w:eastAsia="仿宋" w:cs="仿宋"/>
                <w:color w:val="auto"/>
                <w:kern w:val="0"/>
                <w:sz w:val="21"/>
                <w:szCs w:val="21"/>
              </w:rPr>
              <w:t xml:space="preserve"> 河南省教育厅&lt;关于印发河南省中等职业学校专业设置管理实施办法（试行）&gt;的通知》（豫教职成〔2011〕64号）第七条：“省辖市、重点扩权县（市）教育局具体负责本地区中等职业学校的专业设置管理。”</w:t>
            </w:r>
          </w:p>
        </w:tc>
        <w:tc>
          <w:tcPr>
            <w:tcW w:w="1123" w:type="dxa"/>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color w:val="auto"/>
                <w:kern w:val="0"/>
                <w:sz w:val="21"/>
                <w:szCs w:val="21"/>
              </w:rPr>
              <w:t>职业教育与成人教育科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16</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color w:val="auto"/>
                <w:kern w:val="0"/>
                <w:sz w:val="24"/>
                <w:szCs w:val="24"/>
              </w:rPr>
              <w:t>全市中职学校专业设置审核转报</w:t>
            </w:r>
          </w:p>
        </w:tc>
        <w:tc>
          <w:tcPr>
            <w:tcW w:w="6385" w:type="dxa"/>
            <w:vAlign w:val="center"/>
          </w:tcPr>
          <w:p>
            <w:pPr>
              <w:jc w:val="left"/>
              <w:rPr>
                <w:rFonts w:hint="eastAsia" w:ascii="仿宋" w:hAnsi="仿宋" w:eastAsia="仿宋" w:cs="仿宋"/>
                <w:sz w:val="21"/>
                <w:szCs w:val="21"/>
                <w:vertAlign w:val="baseline"/>
                <w:lang w:val="en-US" w:eastAsia="zh-CN"/>
              </w:rPr>
            </w:pPr>
            <w:r>
              <w:rPr>
                <w:rStyle w:val="5"/>
                <w:rFonts w:hint="eastAsia" w:ascii="仿宋" w:hAnsi="仿宋" w:eastAsia="仿宋" w:cs="仿宋"/>
                <w:b w:val="0"/>
                <w:color w:val="auto"/>
                <w:sz w:val="21"/>
                <w:szCs w:val="21"/>
                <w:shd w:val="clear" w:color="auto" w:fill="FFFFFF"/>
              </w:rPr>
              <w:t>《教育部办公厅关于印发&lt;中等职业学校专业设置管理办法（试行）&gt;的通知》</w:t>
            </w:r>
            <w:r>
              <w:rPr>
                <w:rFonts w:hint="eastAsia" w:ascii="仿宋" w:hAnsi="仿宋" w:eastAsia="仿宋" w:cs="仿宋"/>
                <w:color w:val="auto"/>
                <w:sz w:val="21"/>
                <w:szCs w:val="21"/>
              </w:rPr>
              <w:t>（</w:t>
            </w:r>
            <w:r>
              <w:rPr>
                <w:rFonts w:hint="eastAsia" w:ascii="仿宋" w:hAnsi="仿宋" w:eastAsia="仿宋" w:cs="仿宋"/>
                <w:color w:val="auto"/>
                <w:sz w:val="21"/>
                <w:szCs w:val="21"/>
                <w:shd w:val="clear" w:color="auto" w:fill="FFFFFF"/>
              </w:rPr>
              <w:t>教职成厅〔2010〕9号）第十三条：“</w:t>
            </w:r>
            <w:r>
              <w:rPr>
                <w:rFonts w:hint="eastAsia" w:ascii="仿宋" w:hAnsi="仿宋" w:eastAsia="仿宋" w:cs="仿宋"/>
                <w:color w:val="auto"/>
                <w:sz w:val="21"/>
                <w:szCs w:val="21"/>
              </w:rPr>
              <w:t>中等职业学校开设医药卫生、公安司法、教育类等国家控制专业，应严格审查其办学资质。开设“保安”、“学前教育”专业以及“农村医学”、“中医”等医学类专业，应当符合相关行业主管部门规定的相关条件，报省级教育行政部门备案后开设。”</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color w:val="auto"/>
                <w:kern w:val="0"/>
                <w:sz w:val="21"/>
                <w:szCs w:val="21"/>
              </w:rPr>
              <w:t>平顶山市教育</w:t>
            </w:r>
            <w:r>
              <w:rPr>
                <w:rFonts w:hint="eastAsia" w:ascii="仿宋" w:hAnsi="仿宋" w:eastAsia="仿宋" w:cs="仿宋"/>
                <w:color w:val="auto"/>
                <w:kern w:val="0"/>
                <w:sz w:val="21"/>
                <w:szCs w:val="21"/>
                <w:lang w:eastAsia="zh-CN"/>
              </w:rPr>
              <w:t>体育</w:t>
            </w:r>
            <w:r>
              <w:rPr>
                <w:rFonts w:hint="eastAsia" w:ascii="仿宋" w:hAnsi="仿宋" w:eastAsia="仿宋" w:cs="仿宋"/>
                <w:color w:val="auto"/>
                <w:kern w:val="0"/>
                <w:sz w:val="21"/>
                <w:szCs w:val="21"/>
              </w:rPr>
              <w:t>局组织，河南省教育厅审批</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563" w:type="dxa"/>
            <w:vAlign w:val="center"/>
          </w:tcPr>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17</w:t>
            </w:r>
          </w:p>
        </w:tc>
        <w:tc>
          <w:tcPr>
            <w:tcW w:w="3193" w:type="dxa"/>
            <w:vAlign w:val="center"/>
          </w:tcPr>
          <w:p>
            <w:pPr>
              <w:jc w:val="left"/>
              <w:rPr>
                <w:rFonts w:hint="eastAsia" w:ascii="仿宋" w:hAnsi="仿宋" w:eastAsia="仿宋" w:cs="仿宋"/>
                <w:color w:val="auto"/>
                <w:kern w:val="0"/>
                <w:sz w:val="24"/>
                <w:szCs w:val="24"/>
              </w:rPr>
            </w:pPr>
          </w:p>
          <w:p>
            <w:pPr>
              <w:jc w:val="left"/>
              <w:rPr>
                <w:rFonts w:hint="eastAsia" w:ascii="仿宋" w:hAnsi="仿宋" w:eastAsia="仿宋" w:cs="仿宋"/>
                <w:color w:val="auto"/>
                <w:kern w:val="0"/>
                <w:sz w:val="24"/>
                <w:szCs w:val="24"/>
              </w:rPr>
            </w:pPr>
          </w:p>
          <w:p>
            <w:pPr>
              <w:jc w:val="left"/>
              <w:rPr>
                <w:rFonts w:hint="eastAsia" w:ascii="仿宋" w:hAnsi="仿宋" w:eastAsia="仿宋" w:cs="仿宋"/>
                <w:color w:val="auto"/>
                <w:kern w:val="0"/>
                <w:sz w:val="24"/>
                <w:szCs w:val="24"/>
              </w:rPr>
            </w:pPr>
          </w:p>
          <w:p>
            <w:pPr>
              <w:jc w:val="left"/>
              <w:rPr>
                <w:rFonts w:hint="eastAsia" w:ascii="仿宋" w:hAnsi="仿宋" w:eastAsia="仿宋" w:cs="仿宋"/>
                <w:color w:val="auto"/>
                <w:kern w:val="0"/>
                <w:sz w:val="24"/>
                <w:szCs w:val="24"/>
              </w:rPr>
            </w:pPr>
          </w:p>
          <w:p>
            <w:pPr>
              <w:jc w:val="left"/>
              <w:rPr>
                <w:rFonts w:hint="eastAsia" w:ascii="仿宋" w:hAnsi="仿宋" w:eastAsia="仿宋" w:cs="仿宋"/>
                <w:color w:val="auto"/>
                <w:kern w:val="0"/>
                <w:sz w:val="24"/>
                <w:szCs w:val="24"/>
              </w:rPr>
            </w:pPr>
          </w:p>
          <w:p>
            <w:pPr>
              <w:jc w:val="left"/>
              <w:rPr>
                <w:rFonts w:hint="eastAsia" w:ascii="仿宋" w:hAnsi="仿宋" w:eastAsia="仿宋" w:cs="仿宋"/>
                <w:color w:val="auto"/>
                <w:kern w:val="0"/>
                <w:sz w:val="24"/>
                <w:szCs w:val="24"/>
              </w:rPr>
            </w:pPr>
          </w:p>
          <w:p>
            <w:pPr>
              <w:jc w:val="left"/>
              <w:rPr>
                <w:rFonts w:hint="eastAsia" w:ascii="仿宋" w:hAnsi="仿宋" w:eastAsia="仿宋" w:cs="仿宋"/>
                <w:color w:val="auto"/>
                <w:kern w:val="0"/>
                <w:sz w:val="24"/>
                <w:szCs w:val="24"/>
              </w:rPr>
            </w:pPr>
          </w:p>
          <w:p>
            <w:pPr>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在国家教育考试中对违规违纪考生的处理</w:t>
            </w:r>
          </w:p>
        </w:tc>
        <w:tc>
          <w:tcPr>
            <w:tcW w:w="6385" w:type="dxa"/>
            <w:vAlign w:val="center"/>
          </w:tcPr>
          <w:p>
            <w:pPr>
              <w:jc w:val="left"/>
              <w:rPr>
                <w:rStyle w:val="5"/>
                <w:rFonts w:hint="eastAsia" w:ascii="仿宋" w:hAnsi="仿宋" w:eastAsia="仿宋" w:cs="仿宋"/>
                <w:b w:val="0"/>
                <w:color w:val="auto"/>
                <w:sz w:val="21"/>
                <w:szCs w:val="21"/>
                <w:shd w:val="clear" w:color="auto" w:fill="FFFFFF"/>
              </w:rPr>
            </w:pPr>
            <w:r>
              <w:rPr>
                <w:rFonts w:hint="eastAsia" w:ascii="仿宋" w:hAnsi="仿宋" w:eastAsia="仿宋" w:cs="仿宋"/>
                <w:color w:val="auto"/>
                <w:kern w:val="0"/>
                <w:sz w:val="21"/>
                <w:szCs w:val="21"/>
              </w:rPr>
              <w:t>《中华人民共和国教育法》 （中华人民共和国主席令第45号 ）第七十九条： “在国家教育考试中作弊的，由教育行政部门宣布考试无效，对直接负责的主管人员和其他直接责任人员，依法给予行政处分。”</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 xml:space="preserve">    《国家教育考试违规处理办法》（中华人民共和国教育部令第18号，2012年1月5日修正）第四条：“国务院教育行政部门及地方各级人民政府教育行政部门负责全国或者本地区国家教育考试组织工作的管理与监督。 承办国家教育考试的各级教育考试机构负责有关考试的具体实施，依据本办法，负责对考试违规行为的认定与处理。”第五条：“考生不遵守考场纪律，不服从考试工作人员的安排瓦楞求，有下列行为之一的，应当认定为考试违纪：（一）携带规定以外的物品进入考场或者未放在指定位置的：（二）未在规定的座位参加考试的；（三）考试开始信号发出前答题或在考试结束信号发出后继续答题的； （四）在考试过程中旁窥、交头接耳、互打暗号或者手势的；（五）在考场或者教育考试机构禁止的范围内，喧哗、吸烟或者实话其他影响考场秩序的行为为的；（六）未经考试工作人员同意在考试过程中擅自离开考场的；（七）将试卷、答卷（含答题卡、答题纸等,下同）、草稿等考试用纸带出考场的；（八）用规定以外的笔或考纸答题或者在试卷规定以外的地方书写姓名、考号或者以其他方式 在答卷上标记信息的；（九）其他违反考场规则但尚未构成作弊的行为。”第九条：“考生有第五条所列考试违纪行为之一的，取消该科目的考试成绩。”</w:t>
            </w:r>
          </w:p>
        </w:tc>
        <w:tc>
          <w:tcPr>
            <w:tcW w:w="1123" w:type="dxa"/>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平顶山市</w:t>
            </w:r>
            <w:r>
              <w:rPr>
                <w:rFonts w:hint="eastAsia" w:ascii="仿宋" w:hAnsi="仿宋" w:eastAsia="仿宋" w:cs="仿宋"/>
                <w:color w:val="auto"/>
                <w:sz w:val="21"/>
                <w:szCs w:val="21"/>
              </w:rPr>
              <w:t>招生办公室</w:t>
            </w:r>
          </w:p>
        </w:tc>
        <w:tc>
          <w:tcPr>
            <w:tcW w:w="940" w:type="dxa"/>
            <w:vAlign w:val="center"/>
          </w:tcPr>
          <w:p>
            <w:pPr>
              <w:jc w:val="center"/>
              <w:rPr>
                <w:rFonts w:hint="eastAsia" w:ascii="仿宋" w:hAnsi="仿宋" w:eastAsia="仿宋" w:cs="仿宋"/>
                <w:sz w:val="21"/>
                <w:szCs w:val="21"/>
                <w:vertAlign w:val="baseline"/>
                <w:lang w:val="en-US" w:eastAsia="zh-CN"/>
              </w:rPr>
            </w:pP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18</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color w:val="auto"/>
                <w:kern w:val="0"/>
                <w:sz w:val="24"/>
                <w:szCs w:val="24"/>
              </w:rPr>
              <w:t>普通话水平等级测试认定</w:t>
            </w:r>
          </w:p>
        </w:tc>
        <w:tc>
          <w:tcPr>
            <w:tcW w:w="6385" w:type="dxa"/>
            <w:vAlign w:val="center"/>
          </w:tcPr>
          <w:p>
            <w:pPr>
              <w:ind w:firstLine="42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河南省实施&lt;中华人民共和国国家通用语言文字法&gt;办法》（河南省人民政府令第163号）第十七条：“省人民政府教育行政部门负责组织实施普通话水平测试和汉字应用水平测试，对普通话水平达到国家规定等级标准的人员颁发普通话水平等级证书。</w:t>
            </w:r>
          </w:p>
          <w:p>
            <w:pPr>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sz w:val="21"/>
                <w:szCs w:val="21"/>
              </w:rPr>
              <w:t>《河南省普通话水平测试站管理规定（试行）》（教语用[2013]621号）一、组织领导（三）各省辖市教育局在省教育厅的统一部署下负责本地区普通话水平测试工作规划的制订与实施。各省辖市测试站面向社会各界开展普通话水平测试，进行普通话水平测试咨询工作。</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color w:val="auto"/>
                <w:sz w:val="21"/>
                <w:szCs w:val="21"/>
              </w:rPr>
              <w:t>教育教学研究室、市语委办</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19</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color w:val="auto"/>
                <w:kern w:val="0"/>
                <w:sz w:val="24"/>
                <w:szCs w:val="24"/>
              </w:rPr>
              <w:t>校车使用许可审批</w:t>
            </w:r>
          </w:p>
        </w:tc>
        <w:tc>
          <w:tcPr>
            <w:tcW w:w="6385" w:type="dxa"/>
            <w:vAlign w:val="top"/>
          </w:tcPr>
          <w:p>
            <w:pPr>
              <w:adjustRightInd w:val="0"/>
              <w:snapToGrid w:val="0"/>
              <w:spacing w:line="280" w:lineRule="exact"/>
              <w:ind w:firstLine="315" w:firstLineChars="150"/>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校车安全管理条例》（中华人民共和国国务院令第617号）第十五条：“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adjustRightInd w:val="0"/>
              <w:snapToGrid w:val="0"/>
              <w:spacing w:line="320" w:lineRule="exact"/>
              <w:jc w:val="center"/>
              <w:rPr>
                <w:rFonts w:hint="eastAsia" w:ascii="仿宋" w:hAnsi="仿宋" w:eastAsia="仿宋" w:cs="仿宋"/>
                <w:sz w:val="21"/>
                <w:szCs w:val="21"/>
                <w:vertAlign w:val="baseline"/>
                <w:lang w:val="en-US" w:eastAsia="zh-CN"/>
              </w:rPr>
            </w:pPr>
            <w:r>
              <w:rPr>
                <w:rFonts w:hint="eastAsia" w:ascii="仿宋" w:hAnsi="仿宋" w:eastAsia="仿宋" w:cs="仿宋"/>
                <w:color w:val="auto"/>
                <w:kern w:val="0"/>
                <w:sz w:val="21"/>
                <w:szCs w:val="21"/>
              </w:rPr>
              <w:t>安全</w:t>
            </w:r>
            <w:r>
              <w:rPr>
                <w:rFonts w:hint="eastAsia" w:ascii="仿宋" w:hAnsi="仿宋" w:eastAsia="仿宋" w:cs="仿宋"/>
                <w:color w:val="auto"/>
                <w:kern w:val="0"/>
                <w:sz w:val="21"/>
                <w:szCs w:val="21"/>
                <w:lang w:val="en-US" w:eastAsia="zh-CN"/>
              </w:rPr>
              <w:t>应急管理</w:t>
            </w:r>
            <w:r>
              <w:rPr>
                <w:rFonts w:hint="eastAsia" w:ascii="仿宋" w:hAnsi="仿宋" w:eastAsia="仿宋" w:cs="仿宋"/>
                <w:color w:val="auto"/>
                <w:kern w:val="0"/>
                <w:sz w:val="21"/>
                <w:szCs w:val="21"/>
              </w:rPr>
              <w:t>科</w:t>
            </w:r>
            <w:r>
              <w:rPr>
                <w:rFonts w:hint="eastAsia" w:ascii="仿宋" w:hAnsi="仿宋" w:eastAsia="仿宋" w:cs="仿宋"/>
                <w:color w:val="auto"/>
                <w:kern w:val="0"/>
                <w:sz w:val="21"/>
                <w:szCs w:val="21"/>
                <w:lang w:eastAsia="zh-CN"/>
              </w:rPr>
              <w:t>、政策法规科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20</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color w:val="auto"/>
                <w:kern w:val="0"/>
                <w:sz w:val="24"/>
                <w:szCs w:val="24"/>
              </w:rPr>
              <w:t>学校校车安全管理责任书备案</w:t>
            </w:r>
          </w:p>
        </w:tc>
        <w:tc>
          <w:tcPr>
            <w:tcW w:w="6385" w:type="dxa"/>
            <w:vAlign w:val="center"/>
          </w:tcPr>
          <w:p>
            <w:pPr>
              <w:adjustRightInd w:val="0"/>
              <w:snapToGrid w:val="0"/>
              <w:spacing w:line="280" w:lineRule="exact"/>
              <w:ind w:firstLine="210" w:firstLineChars="100"/>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《校车安全管理条例》 （中华人民共和国国务院令第617号）第十一条　：“由校车服务提供者提供校车服务的，学校应当与校车服务提供者签订校车安全管理责任书，明确各自的安全管理责任，落实校车运行安全管理措施。学校应当将校车安全管理责任书报县级或者设区的市级人民政府教育行政部门备案。”</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adjustRightInd w:val="0"/>
              <w:snapToGrid w:val="0"/>
              <w:spacing w:line="320" w:lineRule="exact"/>
              <w:jc w:val="center"/>
              <w:rPr>
                <w:rFonts w:hint="eastAsia" w:ascii="仿宋" w:hAnsi="仿宋" w:eastAsia="仿宋" w:cs="仿宋"/>
                <w:sz w:val="21"/>
                <w:szCs w:val="21"/>
                <w:vertAlign w:val="baseline"/>
                <w:lang w:val="en-US" w:eastAsia="zh-CN"/>
              </w:rPr>
            </w:pPr>
            <w:r>
              <w:rPr>
                <w:rFonts w:hint="eastAsia" w:ascii="仿宋" w:hAnsi="仿宋" w:eastAsia="仿宋" w:cs="仿宋"/>
                <w:color w:val="auto"/>
                <w:kern w:val="0"/>
                <w:sz w:val="21"/>
                <w:szCs w:val="21"/>
              </w:rPr>
              <w:t>平顶山市教育局安全</w:t>
            </w:r>
            <w:r>
              <w:rPr>
                <w:rFonts w:hint="eastAsia" w:ascii="仿宋" w:hAnsi="仿宋" w:eastAsia="仿宋" w:cs="仿宋"/>
                <w:color w:val="auto"/>
                <w:kern w:val="0"/>
                <w:sz w:val="21"/>
                <w:szCs w:val="21"/>
                <w:lang w:val="en-US" w:eastAsia="zh-CN"/>
              </w:rPr>
              <w:t>应急管理</w:t>
            </w:r>
            <w:r>
              <w:rPr>
                <w:rFonts w:hint="eastAsia" w:ascii="仿宋" w:hAnsi="仿宋" w:eastAsia="仿宋" w:cs="仿宋"/>
                <w:color w:val="auto"/>
                <w:kern w:val="0"/>
                <w:sz w:val="21"/>
                <w:szCs w:val="21"/>
              </w:rPr>
              <w:t>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21</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color w:val="auto"/>
                <w:kern w:val="0"/>
                <w:sz w:val="24"/>
                <w:szCs w:val="24"/>
              </w:rPr>
              <w:t>中等学校招生计划核定</w:t>
            </w:r>
          </w:p>
        </w:tc>
        <w:tc>
          <w:tcPr>
            <w:tcW w:w="6385" w:type="dxa"/>
            <w:vAlign w:val="center"/>
          </w:tcPr>
          <w:p>
            <w:pPr>
              <w:widowControl/>
              <w:snapToGrid w:val="0"/>
              <w:spacing w:line="240" w:lineRule="exact"/>
              <w:ind w:firstLine="315" w:firstLineChars="15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河南省行政审批制度改革领导小组关于取消和下放112项具有审批性质管理事项的通知》（豫审改组〔2013〕1号），下放审批事项第85项：“中等学校招生计划核定，由省教育厅下放省辖市、省管试点县（市）人民政府教育行政部门。”</w:t>
            </w:r>
          </w:p>
          <w:p>
            <w:pPr>
              <w:widowControl/>
              <w:snapToGrid w:val="0"/>
              <w:spacing w:line="240" w:lineRule="exact"/>
              <w:jc w:val="left"/>
              <w:rPr>
                <w:rFonts w:hint="eastAsia" w:ascii="仿宋" w:hAnsi="仿宋" w:eastAsia="仿宋" w:cs="仿宋"/>
                <w:color w:val="auto"/>
                <w:sz w:val="21"/>
                <w:szCs w:val="21"/>
                <w:lang w:val="en-US" w:eastAsia="zh-CN"/>
              </w:rPr>
            </w:pPr>
            <w:r>
              <w:rPr>
                <w:rFonts w:hint="eastAsia" w:ascii="仿宋" w:hAnsi="仿宋" w:eastAsia="仿宋" w:cs="仿宋"/>
                <w:color w:val="auto"/>
                <w:kern w:val="0"/>
                <w:sz w:val="21"/>
                <w:szCs w:val="21"/>
                <w:lang w:val="en-US" w:eastAsia="zh-CN"/>
              </w:rPr>
              <w:t xml:space="preserve">   </w:t>
            </w:r>
            <w:r>
              <w:rPr>
                <w:rFonts w:hint="eastAsia" w:ascii="仿宋" w:hAnsi="仿宋" w:eastAsia="仿宋" w:cs="仿宋"/>
                <w:color w:val="auto"/>
                <w:kern w:val="0"/>
                <w:sz w:val="21"/>
                <w:szCs w:val="21"/>
              </w:rPr>
              <w:t>《</w:t>
            </w:r>
            <w:r>
              <w:rPr>
                <w:rFonts w:hint="eastAsia" w:ascii="仿宋" w:hAnsi="仿宋" w:eastAsia="仿宋" w:cs="仿宋"/>
                <w:color w:val="FF0000"/>
                <w:kern w:val="0"/>
                <w:sz w:val="21"/>
                <w:szCs w:val="21"/>
              </w:rPr>
              <w:t>平顶山市人民政府办公室关于印发平顶山市教育局主要职责内设机构和人员编制规定的通知</w:t>
            </w:r>
            <w:r>
              <w:rPr>
                <w:rFonts w:hint="eastAsia" w:ascii="仿宋" w:hAnsi="仿宋" w:eastAsia="仿宋" w:cs="仿宋"/>
                <w:color w:val="auto"/>
                <w:kern w:val="0"/>
                <w:sz w:val="21"/>
                <w:szCs w:val="21"/>
              </w:rPr>
              <w:t>》第一款第二条承接的职责：1.中等学校招生计划核定；第三款第四项发展规划科职责：拟订高中阶段招生计划。</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widowControl/>
              <w:jc w:val="center"/>
              <w:rPr>
                <w:rFonts w:hint="eastAsia" w:ascii="仿宋" w:hAnsi="仿宋" w:eastAsia="仿宋" w:cs="仿宋"/>
                <w:sz w:val="21"/>
                <w:szCs w:val="21"/>
                <w:vertAlign w:val="baseline"/>
                <w:lang w:val="en-US" w:eastAsia="zh-CN"/>
              </w:rPr>
            </w:pPr>
            <w:r>
              <w:rPr>
                <w:rFonts w:hint="eastAsia" w:ascii="仿宋" w:hAnsi="仿宋" w:eastAsia="仿宋" w:cs="仿宋"/>
                <w:color w:val="auto"/>
                <w:kern w:val="0"/>
                <w:sz w:val="21"/>
                <w:szCs w:val="21"/>
              </w:rPr>
              <w:t>市教育</w:t>
            </w:r>
            <w:r>
              <w:rPr>
                <w:rFonts w:hint="eastAsia" w:ascii="仿宋" w:hAnsi="仿宋" w:eastAsia="仿宋" w:cs="仿宋"/>
                <w:color w:val="auto"/>
                <w:kern w:val="0"/>
                <w:sz w:val="21"/>
                <w:szCs w:val="21"/>
                <w:lang w:eastAsia="zh-CN"/>
              </w:rPr>
              <w:t>体育</w:t>
            </w:r>
            <w:r>
              <w:rPr>
                <w:rFonts w:hint="eastAsia" w:ascii="仿宋" w:hAnsi="仿宋" w:eastAsia="仿宋" w:cs="仿宋"/>
                <w:color w:val="auto"/>
                <w:kern w:val="0"/>
                <w:sz w:val="21"/>
                <w:szCs w:val="21"/>
              </w:rPr>
              <w:t>局发展规划科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22</w:t>
            </w:r>
          </w:p>
        </w:tc>
        <w:tc>
          <w:tcPr>
            <w:tcW w:w="3193" w:type="dxa"/>
            <w:vAlign w:val="center"/>
          </w:tcPr>
          <w:p>
            <w:pPr>
              <w:widowControl/>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rPr>
              <w:t>中等职业学校设立</w:t>
            </w:r>
          </w:p>
        </w:tc>
        <w:tc>
          <w:tcPr>
            <w:tcW w:w="6385" w:type="dxa"/>
            <w:vAlign w:val="center"/>
          </w:tcPr>
          <w:p>
            <w:pPr>
              <w:snapToGrid w:val="0"/>
              <w:spacing w:line="240" w:lineRule="exact"/>
              <w:ind w:firstLine="443" w:firstLineChars="211"/>
              <w:jc w:val="left"/>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《中华人民共和国职业教育法》（中华人民共和国主席令第69号）第二十四条：“…职业学校和职业培训机构的设立、变更和终止，应当按照国家有关规定执行。”</w:t>
            </w:r>
          </w:p>
          <w:p>
            <w:pPr>
              <w:widowControl/>
              <w:snapToGrid w:val="0"/>
              <w:spacing w:line="240" w:lineRule="exact"/>
              <w:ind w:firstLine="443" w:firstLineChars="211"/>
              <w:jc w:val="left"/>
              <w:rPr>
                <w:rFonts w:hint="eastAsia" w:ascii="仿宋" w:hAnsi="仿宋" w:eastAsia="仿宋" w:cs="仿宋"/>
                <w:color w:val="auto"/>
                <w:sz w:val="21"/>
                <w:szCs w:val="21"/>
              </w:rPr>
            </w:pPr>
            <w:r>
              <w:rPr>
                <w:rFonts w:hint="eastAsia" w:ascii="仿宋" w:hAnsi="仿宋" w:eastAsia="仿宋" w:cs="仿宋"/>
                <w:color w:val="auto"/>
                <w:sz w:val="21"/>
                <w:szCs w:val="21"/>
              </w:rPr>
              <w:t>《中等职业学校管理规程》(教职成[2010]6号)第二条：“…中等职业学校的设立依据国家和省级教育行政部门发布的中等职业学校设置标准，其设立、变更、终止应当报省级教育行政部门依法审批或备案。”</w:t>
            </w:r>
          </w:p>
          <w:p>
            <w:pPr>
              <w:snapToGrid w:val="0"/>
              <w:spacing w:line="200" w:lineRule="exact"/>
              <w:ind w:firstLine="420" w:firstLineChars="200"/>
              <w:jc w:val="left"/>
              <w:rPr>
                <w:rFonts w:hint="eastAsia" w:ascii="仿宋" w:hAnsi="仿宋" w:eastAsia="仿宋" w:cs="仿宋"/>
                <w:color w:val="auto"/>
                <w:kern w:val="2"/>
                <w:sz w:val="21"/>
                <w:szCs w:val="21"/>
                <w:lang w:val="en-US" w:eastAsia="zh-CN" w:bidi="ar-SA"/>
              </w:rPr>
            </w:pPr>
            <w:r>
              <w:rPr>
                <w:rFonts w:hint="eastAsia" w:ascii="仿宋" w:hAnsi="仿宋" w:eastAsia="仿宋" w:cs="仿宋"/>
                <w:bCs/>
                <w:color w:val="auto"/>
                <w:sz w:val="21"/>
                <w:szCs w:val="21"/>
              </w:rPr>
              <w:t xml:space="preserve">《河南人民政府办公厅关于印发省人民政府第三批取消和下放的行政审批事项的通知》（【豫政办[2001]3号】） </w:t>
            </w:r>
            <w:r>
              <w:rPr>
                <w:rFonts w:hint="eastAsia" w:ascii="仿宋" w:hAnsi="仿宋" w:eastAsia="仿宋" w:cs="仿宋"/>
                <w:color w:val="auto"/>
                <w:kern w:val="0"/>
                <w:sz w:val="21"/>
                <w:szCs w:val="21"/>
              </w:rPr>
              <w:t>二、 省教育厅第3条：“中等职业学校设置的审批（下放省辖市）”</w:t>
            </w:r>
          </w:p>
        </w:tc>
        <w:tc>
          <w:tcPr>
            <w:tcW w:w="1123" w:type="dxa"/>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其他职权</w:t>
            </w:r>
          </w:p>
        </w:tc>
        <w:tc>
          <w:tcPr>
            <w:tcW w:w="1507" w:type="dxa"/>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平顶山市教育</w:t>
            </w:r>
            <w:r>
              <w:rPr>
                <w:rFonts w:hint="eastAsia" w:ascii="仿宋" w:hAnsi="仿宋" w:eastAsia="仿宋" w:cs="仿宋"/>
                <w:color w:val="auto"/>
                <w:kern w:val="0"/>
                <w:sz w:val="21"/>
                <w:szCs w:val="21"/>
                <w:lang w:eastAsia="zh-CN"/>
              </w:rPr>
              <w:t>体育</w:t>
            </w:r>
            <w:r>
              <w:rPr>
                <w:rFonts w:hint="eastAsia" w:ascii="仿宋" w:hAnsi="仿宋" w:eastAsia="仿宋" w:cs="仿宋"/>
                <w:color w:val="auto"/>
                <w:kern w:val="0"/>
                <w:sz w:val="21"/>
                <w:szCs w:val="21"/>
              </w:rPr>
              <w:t>局发展规划科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23</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督政督学</w:t>
            </w:r>
          </w:p>
        </w:tc>
        <w:tc>
          <w:tcPr>
            <w:tcW w:w="6385" w:type="dxa"/>
            <w:vAlign w:val="center"/>
          </w:tcPr>
          <w:p>
            <w:pPr>
              <w:widowControl/>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育督导条例》（中华人民共和国国务院令第624号）第二条第一款、第二款第一项：“对法律法规规定范围的各级各类教育实施教育督导，适用本条例。教育督导包括以下内容：（一）县级以上人民政府对下级人民政府落实教育法律、法规、规章、和国家教育方针、政策的督导；”</w:t>
            </w:r>
          </w:p>
          <w:p>
            <w:pPr>
              <w:widowControl/>
              <w:jc w:val="left"/>
              <w:rPr>
                <w:rFonts w:hint="eastAsia" w:ascii="仿宋" w:hAnsi="仿宋" w:eastAsia="仿宋" w:cs="仿宋"/>
                <w:sz w:val="21"/>
                <w:szCs w:val="21"/>
                <w:vertAlign w:val="baseline"/>
                <w:lang w:val="en-US" w:eastAsia="zh-CN"/>
              </w:rPr>
            </w:pPr>
            <w:r>
              <w:rPr>
                <w:rFonts w:hint="eastAsia" w:ascii="仿宋" w:hAnsi="仿宋" w:eastAsia="仿宋" w:cs="仿宋"/>
                <w:color w:val="auto"/>
                <w:kern w:val="0"/>
                <w:sz w:val="21"/>
                <w:szCs w:val="21"/>
                <w:lang w:val="en-US" w:eastAsia="zh-CN"/>
              </w:rPr>
              <w:t xml:space="preserve">   </w:t>
            </w:r>
            <w:r>
              <w:rPr>
                <w:rFonts w:hint="eastAsia" w:ascii="仿宋" w:hAnsi="仿宋" w:eastAsia="仿宋" w:cs="仿宋"/>
                <w:color w:val="auto"/>
                <w:kern w:val="0"/>
                <w:sz w:val="21"/>
                <w:szCs w:val="21"/>
              </w:rPr>
              <w:t>第二款第二项：“对法律法规规定范围的各级各类教育实施教育督导，适用本条例。教育督导包括以下内容：（二）县级以上地方人民政府对本行政区域 的学校和其他教育机构（以下通称学校）教育教学工作的督导。”</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color w:val="auto"/>
                <w:kern w:val="0"/>
                <w:sz w:val="21"/>
                <w:szCs w:val="21"/>
                <w:lang w:eastAsia="zh-CN"/>
              </w:rPr>
              <w:t>教体局</w:t>
            </w:r>
            <w:r>
              <w:rPr>
                <w:rFonts w:hint="eastAsia" w:ascii="仿宋" w:hAnsi="仿宋" w:eastAsia="仿宋" w:cs="仿宋"/>
                <w:color w:val="auto"/>
                <w:kern w:val="0"/>
                <w:sz w:val="21"/>
                <w:szCs w:val="21"/>
              </w:rPr>
              <w:t>督导</w:t>
            </w:r>
            <w:r>
              <w:rPr>
                <w:rFonts w:hint="eastAsia" w:ascii="仿宋" w:hAnsi="仿宋" w:eastAsia="仿宋" w:cs="仿宋"/>
                <w:color w:val="auto"/>
                <w:kern w:val="0"/>
                <w:sz w:val="21"/>
                <w:szCs w:val="21"/>
                <w:lang w:eastAsia="zh-CN"/>
              </w:rPr>
              <w:t>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调整</w:t>
            </w:r>
          </w:p>
        </w:tc>
        <w:tc>
          <w:tcPr>
            <w:tcW w:w="689"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市人民政府教育督导室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24</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b w:val="0"/>
                <w:i w:val="0"/>
                <w:snapToGrid/>
                <w:color w:val="auto"/>
                <w:sz w:val="24"/>
                <w:szCs w:val="24"/>
                <w:u w:val="none"/>
              </w:rPr>
              <w:t>市级体育类民办非企业单位变更、注销登记前审查</w:t>
            </w:r>
          </w:p>
        </w:tc>
        <w:tc>
          <w:tcPr>
            <w:tcW w:w="6385" w:type="dxa"/>
            <w:vAlign w:val="center"/>
          </w:tcPr>
          <w:p>
            <w:pPr>
              <w:jc w:val="left"/>
              <w:rPr>
                <w:rFonts w:hint="eastAsia" w:ascii="仿宋" w:hAnsi="仿宋" w:eastAsia="仿宋" w:cs="仿宋"/>
                <w:color w:val="auto"/>
                <w:kern w:val="0"/>
                <w:sz w:val="21"/>
                <w:szCs w:val="21"/>
                <w:lang w:val="en-US" w:eastAsia="zh-CN"/>
              </w:rPr>
            </w:pPr>
            <w:r>
              <w:rPr>
                <w:rFonts w:hint="eastAsia" w:ascii="仿宋" w:hAnsi="仿宋" w:eastAsia="仿宋" w:cs="仿宋"/>
                <w:b w:val="0"/>
                <w:i w:val="0"/>
                <w:snapToGrid/>
                <w:color w:val="auto"/>
                <w:sz w:val="21"/>
                <w:szCs w:val="21"/>
                <w:u w:val="none"/>
              </w:rPr>
              <w:t>《体</w:t>
            </w:r>
            <w:r>
              <w:rPr>
                <w:rFonts w:hint="eastAsia" w:ascii="仿宋" w:hAnsi="仿宋" w:eastAsia="仿宋" w:cs="仿宋"/>
                <w:b w:val="0"/>
                <w:i w:val="0"/>
                <w:snapToGrid/>
                <w:color w:val="FF0000"/>
                <w:sz w:val="21"/>
                <w:szCs w:val="21"/>
                <w:u w:val="none"/>
              </w:rPr>
              <w:t>育类民办非企业单位登记审查与管理暂行办法</w:t>
            </w:r>
            <w:r>
              <w:rPr>
                <w:rFonts w:hint="eastAsia" w:ascii="仿宋" w:hAnsi="仿宋" w:eastAsia="仿宋" w:cs="仿宋"/>
                <w:b w:val="0"/>
                <w:i w:val="0"/>
                <w:snapToGrid/>
                <w:color w:val="auto"/>
                <w:sz w:val="21"/>
                <w:szCs w:val="21"/>
                <w:u w:val="none"/>
              </w:rPr>
              <w:t>》（国家体育总局、民政部令第5号）第三条“...县级以上地方各级人民政府体育行政部门负责本辖区内体育类民办非企业单位的设立审查工作。”第四条“体育类民办非企业单位的业务主管单位履行下列职责：（一）负责体育类民办非企业单位设立、变更、注销登记前的审查；（二）监督、指导体育类民办非企业单位遵守国家宪法、法律、法规和政策并按照其章程开展活动；（三）对体育类民办非企业单位进行业务指导；（四）负责对体育类民办非企业单位年度检查的初审；（五）组织经验交流，表彰先进；（六）会同有关机关指导体育类民办非企业单位的清算事宜；（七）协助登记管理机关和其他有关部门查处体育类民办非企业单位的违法行为；（八）其他应由业务主管单位履行的职责。”</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rPr>
              <w:t>群众体育科、</w:t>
            </w:r>
            <w:r>
              <w:rPr>
                <w:rFonts w:hint="eastAsia" w:ascii="仿宋" w:hAnsi="仿宋" w:eastAsia="仿宋" w:cs="仿宋"/>
                <w:b w:val="0"/>
                <w:i w:val="0"/>
                <w:snapToGrid/>
                <w:color w:val="auto"/>
                <w:sz w:val="21"/>
                <w:szCs w:val="21"/>
                <w:u w:val="none"/>
                <w:lang w:eastAsia="zh-CN"/>
              </w:rPr>
              <w:t>竞赛训练</w:t>
            </w:r>
            <w:r>
              <w:rPr>
                <w:rFonts w:hint="eastAsia" w:ascii="仿宋" w:hAnsi="仿宋" w:eastAsia="仿宋" w:cs="仿宋"/>
                <w:b w:val="0"/>
                <w:i w:val="0"/>
                <w:snapToGrid/>
                <w:color w:val="auto"/>
                <w:sz w:val="21"/>
                <w:szCs w:val="21"/>
                <w:u w:val="none"/>
              </w:rPr>
              <w:t>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25</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b w:val="0"/>
                <w:i w:val="0"/>
                <w:snapToGrid/>
                <w:color w:val="auto"/>
                <w:sz w:val="24"/>
                <w:szCs w:val="24"/>
                <w:u w:val="none"/>
              </w:rPr>
              <w:t>市级体育类社会团体变更、注销登记前审查</w:t>
            </w:r>
          </w:p>
        </w:tc>
        <w:tc>
          <w:tcPr>
            <w:tcW w:w="6385" w:type="dxa"/>
            <w:vAlign w:val="center"/>
          </w:tcPr>
          <w:p>
            <w:pPr>
              <w:jc w:val="left"/>
              <w:rPr>
                <w:rFonts w:hint="eastAsia" w:ascii="仿宋" w:hAnsi="仿宋" w:eastAsia="仿宋" w:cs="仿宋"/>
                <w:color w:val="auto"/>
                <w:sz w:val="21"/>
                <w:szCs w:val="21"/>
                <w:lang w:val="en-US" w:eastAsia="zh-CN"/>
              </w:rPr>
            </w:pPr>
            <w:r>
              <w:rPr>
                <w:rFonts w:hint="eastAsia" w:ascii="仿宋" w:hAnsi="仿宋" w:eastAsia="仿宋" w:cs="仿宋"/>
                <w:b w:val="0"/>
                <w:i w:val="0"/>
                <w:snapToGrid/>
                <w:color w:val="auto"/>
                <w:sz w:val="21"/>
                <w:szCs w:val="21"/>
                <w:u w:val="none"/>
              </w:rPr>
              <w:t xml:space="preserve"> 《社会团体登记管理条例》（国务院令第250号）第二十八条：“业务主管单位履行下列监督管理职责：(一) 负责社会团体筹备申请、成立登记、变更登记、注销登记前的审查；(二) 监督、指导社会团体遵守宪法、法律、法规和国家政策，依据其章程开展活动；(三) 负责社会团体年度检查的初审；(四) 协助登记管理机关和其他有关部门查处社会团体的违法行为；(五) 会同有关机关指导社会团体的清算事宜。业务主管单位履行前款规定的职责，不得向社会团体收取费用。”</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rPr>
              <w:t>群众体育科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26</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b w:val="0"/>
                <w:i w:val="0"/>
                <w:snapToGrid/>
                <w:color w:val="auto"/>
                <w:sz w:val="24"/>
                <w:szCs w:val="24"/>
                <w:u w:val="none"/>
              </w:rPr>
              <w:t>对在学校体育工作中成绩显著的单位和个人给予表彰、奖励</w:t>
            </w:r>
          </w:p>
        </w:tc>
        <w:tc>
          <w:tcPr>
            <w:tcW w:w="6385" w:type="dxa"/>
            <w:vAlign w:val="center"/>
          </w:tcPr>
          <w:p>
            <w:pPr>
              <w:jc w:val="left"/>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rPr>
              <w:t xml:space="preserve">  《学校体育工作条例》（国家教育委员会令第8号）第二十六条：“对在学校体育工作中成绩显著的单位和个人，各级教育、体育行政部门或者学校应当给予表彰、奖励。”</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lang w:eastAsia="zh-CN"/>
              </w:rPr>
              <w:t>竞赛训练</w:t>
            </w:r>
            <w:r>
              <w:rPr>
                <w:rFonts w:hint="eastAsia" w:ascii="仿宋" w:hAnsi="仿宋" w:eastAsia="仿宋" w:cs="仿宋"/>
                <w:b w:val="0"/>
                <w:i w:val="0"/>
                <w:snapToGrid/>
                <w:color w:val="auto"/>
                <w:sz w:val="21"/>
                <w:szCs w:val="21"/>
                <w:u w:val="none"/>
              </w:rPr>
              <w:t>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27</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b w:val="0"/>
                <w:i w:val="0"/>
                <w:snapToGrid/>
                <w:color w:val="auto"/>
                <w:sz w:val="24"/>
                <w:szCs w:val="24"/>
                <w:u w:val="none"/>
              </w:rPr>
              <w:t>对在社会体育指导员工作中做出突出贡献的组织和个人予以表彰、奖励</w:t>
            </w:r>
          </w:p>
        </w:tc>
        <w:tc>
          <w:tcPr>
            <w:tcW w:w="6385" w:type="dxa"/>
            <w:vAlign w:val="center"/>
          </w:tcPr>
          <w:p>
            <w:pPr>
              <w:jc w:val="left"/>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rPr>
              <w:t xml:space="preserve">  《社会体育指导员管理办法》（国家体育总局令第16号）第三十六条：“各级体育主管部门应当定期开展评选表彰活动，对在社会体育指导员工作中做出突出贡献的组织和个人予以表彰、奖励。”</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rPr>
              <w:t>群众体育科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28</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b w:val="0"/>
                <w:i w:val="0"/>
                <w:snapToGrid/>
                <w:color w:val="auto"/>
                <w:sz w:val="24"/>
                <w:szCs w:val="24"/>
                <w:u w:val="none"/>
              </w:rPr>
              <w:t>少年儿童体育学校监督管理</w:t>
            </w:r>
          </w:p>
        </w:tc>
        <w:tc>
          <w:tcPr>
            <w:tcW w:w="6385" w:type="dxa"/>
            <w:vAlign w:val="center"/>
          </w:tcPr>
          <w:p>
            <w:pPr>
              <w:jc w:val="left"/>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rPr>
              <w:t>《</w:t>
            </w:r>
            <w:r>
              <w:rPr>
                <w:rFonts w:hint="eastAsia" w:ascii="仿宋" w:hAnsi="仿宋" w:eastAsia="仿宋" w:cs="仿宋"/>
                <w:b w:val="0"/>
                <w:i w:val="0"/>
                <w:snapToGrid/>
                <w:color w:val="FF0000"/>
                <w:sz w:val="21"/>
                <w:szCs w:val="21"/>
                <w:u w:val="none"/>
              </w:rPr>
              <w:t>少年儿童体育学校管理办法</w:t>
            </w:r>
            <w:r>
              <w:rPr>
                <w:rFonts w:hint="eastAsia" w:ascii="仿宋" w:hAnsi="仿宋" w:eastAsia="仿宋" w:cs="仿宋"/>
                <w:b w:val="0"/>
                <w:i w:val="0"/>
                <w:snapToGrid/>
                <w:color w:val="auto"/>
                <w:sz w:val="21"/>
                <w:szCs w:val="21"/>
                <w:u w:val="none"/>
              </w:rPr>
              <w:t>》（国家体育总局 教育部令第15号第四条：“县级以上体育和教育行政部门在本级人民政府领导下，统筹规划、分工负责、协调管理少体校工作。体育行政部门负责学校的日常管理，学生训练、参赛，教练员配备和培训等；...”第三十四条：“县级以上体育、教育行政部门应当定期检查少体校文化教育实施情况。对违反《中华人民共和国义务教育法》和有关制度及本办法的行为，应及时予以纠正，并依法对少体校及相关责任人给予相应的处理、处罚。”第三十五条：“少体校在训练竞赛、教育教学等活动中发生安全责任事故的，由有关主管部门予以查处，对相关责任人给予处分，造成严重后果的依法追究刑事责任。”</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lang w:eastAsia="zh-CN"/>
              </w:rPr>
              <w:t>竞赛训练</w:t>
            </w:r>
            <w:r>
              <w:rPr>
                <w:rFonts w:hint="eastAsia" w:ascii="仿宋" w:hAnsi="仿宋" w:eastAsia="仿宋" w:cs="仿宋"/>
                <w:b w:val="0"/>
                <w:i w:val="0"/>
                <w:snapToGrid/>
                <w:color w:val="auto"/>
                <w:sz w:val="21"/>
                <w:szCs w:val="21"/>
                <w:u w:val="none"/>
              </w:rPr>
              <w:t>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29</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b w:val="0"/>
                <w:i w:val="0"/>
                <w:snapToGrid/>
                <w:color w:val="auto"/>
                <w:sz w:val="24"/>
                <w:szCs w:val="24"/>
                <w:u w:val="none"/>
              </w:rPr>
              <w:t>中等体育运动学校监督管理</w:t>
            </w:r>
          </w:p>
        </w:tc>
        <w:tc>
          <w:tcPr>
            <w:tcW w:w="6385" w:type="dxa"/>
            <w:vAlign w:val="center"/>
          </w:tcPr>
          <w:p>
            <w:pPr>
              <w:jc w:val="left"/>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rPr>
              <w:t>《</w:t>
            </w:r>
            <w:r>
              <w:rPr>
                <w:rFonts w:hint="eastAsia" w:ascii="仿宋" w:hAnsi="仿宋" w:eastAsia="仿宋" w:cs="仿宋"/>
                <w:b w:val="0"/>
                <w:i w:val="0"/>
                <w:snapToGrid/>
                <w:color w:val="FF0000"/>
                <w:sz w:val="21"/>
                <w:szCs w:val="21"/>
                <w:u w:val="none"/>
              </w:rPr>
              <w:t>中等体育运动学校管理办法</w:t>
            </w:r>
            <w:r>
              <w:rPr>
                <w:rFonts w:hint="eastAsia" w:ascii="仿宋" w:hAnsi="仿宋" w:eastAsia="仿宋" w:cs="仿宋"/>
                <w:b w:val="0"/>
                <w:i w:val="0"/>
                <w:snapToGrid/>
                <w:color w:val="auto"/>
                <w:sz w:val="21"/>
                <w:szCs w:val="21"/>
                <w:u w:val="none"/>
              </w:rPr>
              <w:t>》(国家体育总局 教育部令第14号)第四条：“县级以上体育和教育行政部门在本级人民政府领导下，负责对本行政区域内各类运动学校建设发展工作的统筹协调和检查指导等管理工作。”第五条：“运动学校由当地体育、教育行政部门共同管理，以体育行政部门管理为主。体育行政部门负责学校的日常管理，学生训练、参赛，教练员配备和培训等；...”第三十六条：“县级以上体育、教育行政部门应当定期检查学校文化教育实施情况。对违反《中华人民共和国义务教育法》和有关制度及本办法的行为，应及时予以纠正，并依法对学校及相关责任人给予相应的处理、处罚。”第三十七条：“运动学校在训练竞赛、教育教学等活动中发生安全责任事故的，由有关主管部门予以查处，对相关责任人给予处分，构成犯罪的依法追究刑事责任。”</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lang w:eastAsia="zh-CN"/>
              </w:rPr>
              <w:t>竞赛训练</w:t>
            </w:r>
            <w:r>
              <w:rPr>
                <w:rFonts w:hint="eastAsia" w:ascii="仿宋" w:hAnsi="仿宋" w:eastAsia="仿宋" w:cs="仿宋"/>
                <w:b w:val="0"/>
                <w:i w:val="0"/>
                <w:snapToGrid/>
                <w:color w:val="auto"/>
                <w:sz w:val="21"/>
                <w:szCs w:val="21"/>
                <w:u w:val="none"/>
              </w:rPr>
              <w:t>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30</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b w:val="0"/>
                <w:i w:val="0"/>
                <w:snapToGrid/>
                <w:color w:val="auto"/>
                <w:sz w:val="24"/>
                <w:szCs w:val="24"/>
                <w:u w:val="none"/>
              </w:rPr>
              <w:t>二级社会体育指导员审批</w:t>
            </w:r>
          </w:p>
        </w:tc>
        <w:tc>
          <w:tcPr>
            <w:tcW w:w="6385" w:type="dxa"/>
            <w:vAlign w:val="center"/>
          </w:tcPr>
          <w:p>
            <w:pPr>
              <w:jc w:val="left"/>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rPr>
              <w:t xml:space="preserve"> 《中华人民共和国体育法》第十一条第二款：“国家实行社会体育指导员技术等级制度。社会体育指导员对社会体育活动进行指导。”   </w:t>
            </w:r>
            <w:r>
              <w:rPr>
                <w:rFonts w:hint="eastAsia" w:ascii="仿宋" w:hAnsi="仿宋" w:eastAsia="仿宋" w:cs="仿宋"/>
                <w:b w:val="0"/>
                <w:i w:val="0"/>
                <w:snapToGrid/>
                <w:color w:val="auto"/>
                <w:sz w:val="21"/>
                <w:szCs w:val="21"/>
                <w:u w:val="none"/>
              </w:rPr>
              <w:br w:type="textWrapping"/>
            </w:r>
            <w:r>
              <w:rPr>
                <w:rFonts w:hint="eastAsia" w:ascii="仿宋" w:hAnsi="仿宋" w:eastAsia="仿宋" w:cs="仿宋"/>
                <w:b w:val="0"/>
                <w:i w:val="0"/>
                <w:snapToGrid/>
                <w:color w:val="auto"/>
                <w:sz w:val="21"/>
                <w:szCs w:val="21"/>
                <w:u w:val="none"/>
              </w:rPr>
              <w:t xml:space="preserve">   《社会体育指导员管理办法》（国家体育总局令第16号）第十四条第二款：“地（市）级体育主管部门或经批准的省级协会批准授予二级社会体育指导员技术等级称号。”</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rPr>
              <w:t>群众体育科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31</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b w:val="0"/>
                <w:i w:val="0"/>
                <w:snapToGrid/>
                <w:color w:val="auto"/>
                <w:sz w:val="24"/>
                <w:szCs w:val="24"/>
                <w:u w:val="none"/>
              </w:rPr>
              <w:t>二级裁判员技术等级称号审批</w:t>
            </w:r>
          </w:p>
        </w:tc>
        <w:tc>
          <w:tcPr>
            <w:tcW w:w="6385" w:type="dxa"/>
            <w:vAlign w:val="center"/>
          </w:tcPr>
          <w:p>
            <w:pPr>
              <w:jc w:val="left"/>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rPr>
              <w:t xml:space="preserve"> 《中华人民共和国体育法》第三十条：“国家实行运动员技术等级、裁判员技术等级和教练员专业技术职务等级制度。”          </w:t>
            </w:r>
            <w:r>
              <w:rPr>
                <w:rFonts w:hint="eastAsia" w:ascii="仿宋" w:hAnsi="仿宋" w:eastAsia="仿宋" w:cs="仿宋"/>
                <w:b w:val="0"/>
                <w:i w:val="0"/>
                <w:snapToGrid/>
                <w:color w:val="auto"/>
                <w:sz w:val="21"/>
                <w:szCs w:val="21"/>
                <w:u w:val="none"/>
              </w:rPr>
              <w:br w:type="textWrapping"/>
            </w:r>
            <w:r>
              <w:rPr>
                <w:rFonts w:hint="eastAsia" w:ascii="仿宋" w:hAnsi="仿宋" w:eastAsia="仿宋" w:cs="仿宋"/>
                <w:b w:val="0"/>
                <w:i w:val="0"/>
                <w:snapToGrid/>
                <w:color w:val="auto"/>
                <w:sz w:val="21"/>
                <w:szCs w:val="21"/>
                <w:u w:val="none"/>
              </w:rPr>
              <w:t xml:space="preserve">   《体育竞赛裁判员管理办法（试行）》（国家体育总局体竞字（1999）153号）第二条：“国务院体育行政部门和地方各级人民政府体育行政部门根据裁判员的技术等级和业务水平，对裁判员实行分级审批、分级注册、分级管理。”第十条：“熟练本项目竞赛规则和裁判法，能够比较准确运用，具有一定的裁判工作经验；任三级裁判员满两年，并且至少三次在县级体育比赛中担任裁判工作的，可以申报本项目二级裁判员，由地、市级体育行政部门审批。”</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lang w:eastAsia="zh-CN"/>
              </w:rPr>
              <w:t>竞赛训练</w:t>
            </w:r>
            <w:r>
              <w:rPr>
                <w:rFonts w:hint="eastAsia" w:ascii="仿宋" w:hAnsi="仿宋" w:eastAsia="仿宋" w:cs="仿宋"/>
                <w:b w:val="0"/>
                <w:i w:val="0"/>
                <w:snapToGrid/>
                <w:color w:val="auto"/>
                <w:sz w:val="21"/>
                <w:szCs w:val="21"/>
                <w:u w:val="none"/>
              </w:rPr>
              <w:t>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32</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b w:val="0"/>
                <w:i w:val="0"/>
                <w:snapToGrid/>
                <w:color w:val="auto"/>
                <w:sz w:val="24"/>
                <w:szCs w:val="24"/>
                <w:u w:val="none"/>
              </w:rPr>
              <w:t>二级运动员</w:t>
            </w:r>
            <w:r>
              <w:rPr>
                <w:rFonts w:hint="eastAsia" w:ascii="仿宋" w:hAnsi="仿宋" w:eastAsia="仿宋" w:cs="仿宋"/>
                <w:b w:val="0"/>
                <w:i w:val="0"/>
                <w:snapToGrid/>
                <w:color w:val="auto"/>
                <w:sz w:val="24"/>
                <w:szCs w:val="24"/>
                <w:u w:val="none"/>
                <w:lang w:eastAsia="zh-CN"/>
              </w:rPr>
              <w:t>认定</w:t>
            </w:r>
          </w:p>
        </w:tc>
        <w:tc>
          <w:tcPr>
            <w:tcW w:w="6385" w:type="dxa"/>
            <w:vAlign w:val="center"/>
          </w:tcPr>
          <w:p>
            <w:pPr>
              <w:jc w:val="left"/>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0000FF"/>
                <w:sz w:val="21"/>
                <w:szCs w:val="21"/>
                <w:u w:val="none"/>
              </w:rPr>
              <w:t xml:space="preserve">《中华人民共和国体育法》第三十条：“国家实行运动员技术等级、裁判员技术等级和教练员专业技术职务等级制度。”                   </w:t>
            </w:r>
            <w:r>
              <w:rPr>
                <w:rFonts w:hint="eastAsia" w:ascii="仿宋" w:hAnsi="仿宋" w:eastAsia="仿宋" w:cs="仿宋"/>
                <w:b w:val="0"/>
                <w:i w:val="0"/>
                <w:snapToGrid/>
                <w:color w:val="0000FF"/>
                <w:sz w:val="21"/>
                <w:szCs w:val="21"/>
                <w:u w:val="none"/>
              </w:rPr>
              <w:br w:type="textWrapping"/>
            </w:r>
            <w:r>
              <w:rPr>
                <w:rFonts w:hint="eastAsia" w:ascii="仿宋" w:hAnsi="仿宋" w:eastAsia="仿宋" w:cs="仿宋"/>
                <w:b w:val="0"/>
                <w:i w:val="0"/>
                <w:snapToGrid/>
                <w:color w:val="0000FF"/>
                <w:sz w:val="21"/>
                <w:szCs w:val="21"/>
                <w:u w:val="none"/>
              </w:rPr>
              <w:t xml:space="preserve">    《运动员技术等级管理办法》（国家体育总局令第18号）第九条：“ 总局授予各省级体育行政部门、新疆生产建设兵团体育局、总参军训部军事体育训练局、总政宣传部文化体育局一级运动员、二级运动员、三级运</w:t>
            </w:r>
            <w:r>
              <w:rPr>
                <w:rFonts w:hint="eastAsia" w:ascii="仿宋" w:hAnsi="仿宋" w:eastAsia="仿宋" w:cs="仿宋"/>
                <w:b w:val="0"/>
                <w:i w:val="0"/>
                <w:snapToGrid/>
                <w:color w:val="auto"/>
                <w:sz w:val="21"/>
                <w:szCs w:val="21"/>
                <w:u w:val="none"/>
              </w:rPr>
              <w:t>动员审批权。”第十条：“ 各省级体育行政部门根据实际情况，可以将二级运动员、三级运动员审批权授予本行政区域内地市级体育行政部门，可以将三级运动员审批权授予本行政区域内县级体育行政部门。”</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lang w:eastAsia="zh-CN"/>
              </w:rPr>
              <w:t>竞赛训练</w:t>
            </w:r>
            <w:r>
              <w:rPr>
                <w:rFonts w:hint="eastAsia" w:ascii="仿宋" w:hAnsi="仿宋" w:eastAsia="仿宋" w:cs="仿宋"/>
                <w:b w:val="0"/>
                <w:i w:val="0"/>
                <w:snapToGrid/>
                <w:color w:val="auto"/>
                <w:sz w:val="21"/>
                <w:szCs w:val="21"/>
                <w:u w:val="none"/>
              </w:rPr>
              <w:t>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33</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b w:val="0"/>
                <w:i w:val="0"/>
                <w:snapToGrid/>
                <w:color w:val="auto"/>
                <w:sz w:val="24"/>
                <w:szCs w:val="24"/>
                <w:u w:val="none"/>
              </w:rPr>
              <w:t>撤销体育类民办非企业单位登记审查文件</w:t>
            </w:r>
          </w:p>
        </w:tc>
        <w:tc>
          <w:tcPr>
            <w:tcW w:w="6385" w:type="dxa"/>
            <w:vAlign w:val="center"/>
          </w:tcPr>
          <w:p>
            <w:pPr>
              <w:jc w:val="left"/>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rPr>
              <w:t xml:space="preserve"> 《体育类民办非企业单位登记审查与管理暂行办法》（国家体育总局、民政部令第5号）第十九条：“体育类民办非企业单位出现下列情形之一，情节严重的，体育行政部门有权撤销已出具的登记审查批准文件，并以书面形式通知该民办非企业单位和相应的登记管理机关。（一）涂改、出租、出借民办非企业单位登记证书，或者出租、出借民办非企业单位印章的；（二）超出其章程规定的宗旨和业务范围进行活动的；（三）拒不接受或者不按照规定接受监督检查的；（四）不按照规定办理变更登记的；（五）设立分支机构的；（六）从事营利性的经营活动的；（七）侵占、私分、挪用民办非企业单位的资产或者所接受的捐赠、资助的；（八）违反国家有关规定收取费用、筹集资金或者接受使用捐赠、资助的。”</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rPr>
              <w:t>群众体育科、</w:t>
            </w:r>
            <w:r>
              <w:rPr>
                <w:rFonts w:hint="eastAsia" w:ascii="仿宋" w:hAnsi="仿宋" w:eastAsia="仿宋" w:cs="仿宋"/>
                <w:b w:val="0"/>
                <w:i w:val="0"/>
                <w:snapToGrid/>
                <w:color w:val="auto"/>
                <w:sz w:val="21"/>
                <w:szCs w:val="21"/>
                <w:u w:val="none"/>
                <w:lang w:eastAsia="zh-CN"/>
              </w:rPr>
              <w:t>竞赛训练</w:t>
            </w:r>
            <w:r>
              <w:rPr>
                <w:rFonts w:hint="eastAsia" w:ascii="仿宋" w:hAnsi="仿宋" w:eastAsia="仿宋" w:cs="仿宋"/>
                <w:b w:val="0"/>
                <w:i w:val="0"/>
                <w:snapToGrid/>
                <w:color w:val="auto"/>
                <w:sz w:val="21"/>
                <w:szCs w:val="21"/>
                <w:u w:val="none"/>
              </w:rPr>
              <w:t>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34</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b w:val="0"/>
                <w:i w:val="0"/>
                <w:snapToGrid/>
                <w:color w:val="auto"/>
                <w:sz w:val="24"/>
                <w:szCs w:val="24"/>
                <w:u w:val="none"/>
              </w:rPr>
              <w:t>社会体育指导员违规行为的处理</w:t>
            </w:r>
          </w:p>
        </w:tc>
        <w:tc>
          <w:tcPr>
            <w:tcW w:w="6385" w:type="dxa"/>
            <w:vAlign w:val="center"/>
          </w:tcPr>
          <w:p>
            <w:pPr>
              <w:jc w:val="left"/>
              <w:rPr>
                <w:rFonts w:hint="eastAsia" w:ascii="仿宋" w:hAnsi="仿宋" w:eastAsia="仿宋" w:cs="仿宋"/>
                <w:b w:val="0"/>
                <w:i w:val="0"/>
                <w:snapToGrid/>
                <w:color w:val="auto"/>
                <w:sz w:val="21"/>
                <w:szCs w:val="21"/>
                <w:u w:val="none"/>
                <w:lang w:val="en-US" w:eastAsia="zh-CN"/>
              </w:rPr>
            </w:pPr>
            <w:r>
              <w:rPr>
                <w:rFonts w:hint="eastAsia" w:ascii="仿宋" w:hAnsi="仿宋" w:eastAsia="仿宋" w:cs="仿宋"/>
                <w:b w:val="0"/>
                <w:i w:val="0"/>
                <w:snapToGrid/>
                <w:color w:val="auto"/>
                <w:sz w:val="21"/>
                <w:szCs w:val="21"/>
                <w:u w:val="none"/>
              </w:rPr>
              <w:t xml:space="preserve"> 《社会体育指导员管理办法》（国家体育总局令第16号）第四十一条：“提供虚假材料获得社会体育指导员技术等级称号的人员，由批准授予的体育主管部门或经批准的协会撤销其社会体育指导员技术等级称号。”第四十二条：“社会体育指导员在开展志愿服务时有宣扬封建迷信和其他不文明、不健康的行为，造成不良影响和后果的，由其开展志愿服务所在地的县级体育主管部门或有关组织、单位予以批评教育，责令改正；情节严重、影响恶劣的，撤销其社会体育指导员技术等级称号；构成犯罪的，依法追究刑事责任。”</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rPr>
              <w:t>群众体育科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w:t>
            </w:r>
          </w:p>
        </w:tc>
        <w:tc>
          <w:tcPr>
            <w:tcW w:w="3193"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b w:val="0"/>
                <w:i w:val="0"/>
                <w:snapToGrid/>
                <w:color w:val="auto"/>
                <w:sz w:val="24"/>
                <w:szCs w:val="24"/>
                <w:u w:val="none"/>
              </w:rPr>
              <w:t>裁判员违规行为的处理</w:t>
            </w:r>
          </w:p>
        </w:tc>
        <w:tc>
          <w:tcPr>
            <w:tcW w:w="6385" w:type="dxa"/>
            <w:vAlign w:val="center"/>
          </w:tcPr>
          <w:p>
            <w:pPr>
              <w:jc w:val="left"/>
              <w:rPr>
                <w:rFonts w:hint="eastAsia" w:ascii="仿宋" w:hAnsi="仿宋" w:eastAsia="仿宋" w:cs="仿宋"/>
                <w:b w:val="0"/>
                <w:i w:val="0"/>
                <w:snapToGrid/>
                <w:color w:val="auto"/>
                <w:sz w:val="21"/>
                <w:szCs w:val="21"/>
                <w:u w:val="none"/>
                <w:lang w:val="en-US" w:eastAsia="zh-CN"/>
              </w:rPr>
            </w:pPr>
            <w:r>
              <w:rPr>
                <w:rFonts w:hint="eastAsia" w:ascii="仿宋" w:hAnsi="仿宋" w:eastAsia="仿宋" w:cs="仿宋"/>
                <w:b w:val="0"/>
                <w:i w:val="0"/>
                <w:snapToGrid/>
                <w:color w:val="auto"/>
                <w:sz w:val="21"/>
                <w:szCs w:val="21"/>
                <w:u w:val="none"/>
              </w:rPr>
              <w:t xml:space="preserve">  《体育竞赛裁判员管理办法（试行）》（国家体育总局体竞字（1999）153号）第三十八条：“凡裁判员有下列情节者，给予撤销技术等级称号，终身停止裁判工作的处分：（一）行贿受贿，执法不公；（二）在重要比赛中，出现明显错判、漏判，造成恶劣影响；（三）触犯刑律，受到刑事处罚”。</w:t>
            </w:r>
          </w:p>
        </w:tc>
        <w:tc>
          <w:tcPr>
            <w:tcW w:w="1123"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b w:val="0"/>
                <w:i w:val="0"/>
                <w:snapToGrid/>
                <w:color w:val="auto"/>
                <w:sz w:val="21"/>
                <w:szCs w:val="21"/>
                <w:u w:val="none"/>
                <w:lang w:eastAsia="zh-CN"/>
              </w:rPr>
              <w:t>竞赛训练</w:t>
            </w:r>
            <w:r>
              <w:rPr>
                <w:rFonts w:hint="eastAsia" w:ascii="仿宋" w:hAnsi="仿宋" w:eastAsia="仿宋" w:cs="仿宋"/>
                <w:b w:val="0"/>
                <w:i w:val="0"/>
                <w:snapToGrid/>
                <w:color w:val="auto"/>
                <w:sz w:val="21"/>
                <w:szCs w:val="21"/>
                <w:u w:val="none"/>
              </w:rPr>
              <w:t>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63"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36</w:t>
            </w:r>
          </w:p>
        </w:tc>
        <w:tc>
          <w:tcPr>
            <w:tcW w:w="3193" w:type="dxa"/>
            <w:vAlign w:val="center"/>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侵占、破坏公共体育设施行为的处理</w:t>
            </w:r>
          </w:p>
        </w:tc>
        <w:tc>
          <w:tcPr>
            <w:tcW w:w="6385" w:type="dxa"/>
            <w:vAlign w:val="center"/>
          </w:tcPr>
          <w:p>
            <w:pPr>
              <w:jc w:val="left"/>
              <w:rPr>
                <w:rFonts w:hint="eastAsia" w:ascii="仿宋" w:hAnsi="仿宋" w:eastAsia="仿宋" w:cs="仿宋"/>
                <w:b w:val="0"/>
                <w:i w:val="0"/>
                <w:snapToGrid/>
                <w:color w:val="auto"/>
                <w:sz w:val="21"/>
                <w:szCs w:val="21"/>
                <w:u w:val="none"/>
              </w:rPr>
            </w:pPr>
            <w:r>
              <w:rPr>
                <w:rFonts w:hint="eastAsia" w:ascii="仿宋" w:hAnsi="仿宋" w:eastAsia="仿宋" w:cs="仿宋"/>
                <w:sz w:val="21"/>
                <w:szCs w:val="21"/>
                <w:vertAlign w:val="baseline"/>
                <w:lang w:eastAsia="zh-CN"/>
              </w:rPr>
              <w:t>《中华人民共和国体育法》第五十二条：“侵占、破坏公共体育设施的，由体育行政部门责令限期改正，并依法承担民事责任。</w:t>
            </w:r>
          </w:p>
        </w:tc>
        <w:tc>
          <w:tcPr>
            <w:tcW w:w="1123" w:type="dxa"/>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其他职权</w:t>
            </w:r>
          </w:p>
        </w:tc>
        <w:tc>
          <w:tcPr>
            <w:tcW w:w="1507" w:type="dxa"/>
            <w:vAlign w:val="center"/>
          </w:tcPr>
          <w:p>
            <w:pPr>
              <w:jc w:val="both"/>
              <w:rPr>
                <w:rFonts w:hint="eastAsia" w:ascii="仿宋" w:hAnsi="仿宋" w:eastAsia="仿宋" w:cs="仿宋"/>
                <w:b w:val="0"/>
                <w:i w:val="0"/>
                <w:snapToGrid/>
                <w:color w:val="auto"/>
                <w:sz w:val="21"/>
                <w:szCs w:val="21"/>
                <w:u w:val="none"/>
                <w:lang w:eastAsia="zh-CN"/>
              </w:rPr>
            </w:pPr>
            <w:r>
              <w:rPr>
                <w:rFonts w:hint="eastAsia" w:ascii="仿宋" w:hAnsi="仿宋" w:eastAsia="仿宋" w:cs="仿宋"/>
                <w:b w:val="0"/>
                <w:i w:val="0"/>
                <w:snapToGrid/>
                <w:color w:val="auto"/>
                <w:sz w:val="21"/>
                <w:szCs w:val="21"/>
                <w:u w:val="none"/>
                <w:lang w:eastAsia="zh-CN"/>
              </w:rPr>
              <w:t>体育产业科</w:t>
            </w:r>
          </w:p>
        </w:tc>
        <w:tc>
          <w:tcPr>
            <w:tcW w:w="94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无</w:t>
            </w:r>
          </w:p>
        </w:tc>
        <w:tc>
          <w:tcPr>
            <w:tcW w:w="689" w:type="dxa"/>
            <w:vAlign w:val="center"/>
          </w:tcPr>
          <w:p>
            <w:pPr>
              <w:jc w:val="center"/>
              <w:rPr>
                <w:rFonts w:hint="eastAsia" w:ascii="仿宋" w:hAnsi="仿宋" w:eastAsia="仿宋" w:cs="仿宋"/>
                <w:sz w:val="21"/>
                <w:szCs w:val="21"/>
                <w:vertAlign w:val="baseline"/>
                <w:lang w:val="en-US" w:eastAsia="zh-CN"/>
              </w:rPr>
            </w:pPr>
          </w:p>
        </w:tc>
      </w:tr>
    </w:tbl>
    <w:p>
      <w:pPr>
        <w:jc w:val="left"/>
        <w:rPr>
          <w:rFonts w:hint="eastAsia"/>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34F55"/>
    <w:rsid w:val="00F05C8F"/>
    <w:rsid w:val="01D26B39"/>
    <w:rsid w:val="01D56B40"/>
    <w:rsid w:val="01E50F93"/>
    <w:rsid w:val="020B6F5C"/>
    <w:rsid w:val="02A35170"/>
    <w:rsid w:val="02D759E4"/>
    <w:rsid w:val="04A938E8"/>
    <w:rsid w:val="05402C76"/>
    <w:rsid w:val="05AF4030"/>
    <w:rsid w:val="05B64B07"/>
    <w:rsid w:val="07C964B1"/>
    <w:rsid w:val="08214FFA"/>
    <w:rsid w:val="087C6957"/>
    <w:rsid w:val="091F6739"/>
    <w:rsid w:val="0A0B5414"/>
    <w:rsid w:val="0ABB2505"/>
    <w:rsid w:val="0C7C3414"/>
    <w:rsid w:val="0D3F3696"/>
    <w:rsid w:val="0D5173D6"/>
    <w:rsid w:val="0E5F294B"/>
    <w:rsid w:val="0F060F70"/>
    <w:rsid w:val="10326628"/>
    <w:rsid w:val="10676E7A"/>
    <w:rsid w:val="115E2366"/>
    <w:rsid w:val="14350725"/>
    <w:rsid w:val="14511588"/>
    <w:rsid w:val="15074F3C"/>
    <w:rsid w:val="16ED3FAE"/>
    <w:rsid w:val="199E6D10"/>
    <w:rsid w:val="1AC06498"/>
    <w:rsid w:val="1BF459F1"/>
    <w:rsid w:val="1CC23DF9"/>
    <w:rsid w:val="1DCB57DB"/>
    <w:rsid w:val="1E745F30"/>
    <w:rsid w:val="1F1F6612"/>
    <w:rsid w:val="1F8F2A7C"/>
    <w:rsid w:val="1FF24C18"/>
    <w:rsid w:val="202225FD"/>
    <w:rsid w:val="221B4A49"/>
    <w:rsid w:val="226A3168"/>
    <w:rsid w:val="236377BF"/>
    <w:rsid w:val="23FC530C"/>
    <w:rsid w:val="25946146"/>
    <w:rsid w:val="26300EF0"/>
    <w:rsid w:val="26A61445"/>
    <w:rsid w:val="26BC4C4D"/>
    <w:rsid w:val="271414CB"/>
    <w:rsid w:val="286D1318"/>
    <w:rsid w:val="292A3B6C"/>
    <w:rsid w:val="29435613"/>
    <w:rsid w:val="295B6F64"/>
    <w:rsid w:val="296C619B"/>
    <w:rsid w:val="29B16488"/>
    <w:rsid w:val="29E01DD0"/>
    <w:rsid w:val="2A2B496C"/>
    <w:rsid w:val="2A9A054E"/>
    <w:rsid w:val="2D4D7379"/>
    <w:rsid w:val="2D651DFC"/>
    <w:rsid w:val="2D9A7BB8"/>
    <w:rsid w:val="2E59371A"/>
    <w:rsid w:val="2EB12687"/>
    <w:rsid w:val="2EE31B1B"/>
    <w:rsid w:val="2FF359E6"/>
    <w:rsid w:val="303B5024"/>
    <w:rsid w:val="30574EAA"/>
    <w:rsid w:val="305E1C5E"/>
    <w:rsid w:val="307251B5"/>
    <w:rsid w:val="30BB289B"/>
    <w:rsid w:val="310316AA"/>
    <w:rsid w:val="31D132F8"/>
    <w:rsid w:val="32507D27"/>
    <w:rsid w:val="338654E1"/>
    <w:rsid w:val="33925A30"/>
    <w:rsid w:val="369B5B87"/>
    <w:rsid w:val="37012D57"/>
    <w:rsid w:val="3723118C"/>
    <w:rsid w:val="375F13CB"/>
    <w:rsid w:val="37DE7710"/>
    <w:rsid w:val="387301D5"/>
    <w:rsid w:val="39CF503E"/>
    <w:rsid w:val="3A610991"/>
    <w:rsid w:val="3B89746D"/>
    <w:rsid w:val="3BCD602E"/>
    <w:rsid w:val="3DD00B76"/>
    <w:rsid w:val="3F5971E0"/>
    <w:rsid w:val="3F734F55"/>
    <w:rsid w:val="40706958"/>
    <w:rsid w:val="41192E88"/>
    <w:rsid w:val="427B478C"/>
    <w:rsid w:val="42924E00"/>
    <w:rsid w:val="45143D78"/>
    <w:rsid w:val="459A69CA"/>
    <w:rsid w:val="462504B8"/>
    <w:rsid w:val="46B02495"/>
    <w:rsid w:val="46C4566C"/>
    <w:rsid w:val="47701C38"/>
    <w:rsid w:val="47B663CC"/>
    <w:rsid w:val="48D450D6"/>
    <w:rsid w:val="499B0647"/>
    <w:rsid w:val="4A120A85"/>
    <w:rsid w:val="4A5F2BA2"/>
    <w:rsid w:val="4C5C3B20"/>
    <w:rsid w:val="4CEE07AD"/>
    <w:rsid w:val="4CF577F6"/>
    <w:rsid w:val="4D1613E2"/>
    <w:rsid w:val="51FB2E50"/>
    <w:rsid w:val="534836A1"/>
    <w:rsid w:val="54946D8C"/>
    <w:rsid w:val="54990A40"/>
    <w:rsid w:val="5506492A"/>
    <w:rsid w:val="55745BA5"/>
    <w:rsid w:val="56ED2DB5"/>
    <w:rsid w:val="57E71C18"/>
    <w:rsid w:val="5A743E02"/>
    <w:rsid w:val="5AD934FC"/>
    <w:rsid w:val="5AF77199"/>
    <w:rsid w:val="5B770B0A"/>
    <w:rsid w:val="5D435AAC"/>
    <w:rsid w:val="5D575692"/>
    <w:rsid w:val="5D5938C7"/>
    <w:rsid w:val="5E8F67FF"/>
    <w:rsid w:val="5EAA5CFC"/>
    <w:rsid w:val="5F983018"/>
    <w:rsid w:val="606C30EE"/>
    <w:rsid w:val="6087333E"/>
    <w:rsid w:val="60A914DE"/>
    <w:rsid w:val="60D3651E"/>
    <w:rsid w:val="61FA0103"/>
    <w:rsid w:val="622E2975"/>
    <w:rsid w:val="631A536E"/>
    <w:rsid w:val="636F30E0"/>
    <w:rsid w:val="64976447"/>
    <w:rsid w:val="65E74141"/>
    <w:rsid w:val="66887097"/>
    <w:rsid w:val="66CF1A6C"/>
    <w:rsid w:val="66F23B0D"/>
    <w:rsid w:val="672C1160"/>
    <w:rsid w:val="6747666D"/>
    <w:rsid w:val="679664E4"/>
    <w:rsid w:val="67ED2447"/>
    <w:rsid w:val="6906423D"/>
    <w:rsid w:val="69CE66D4"/>
    <w:rsid w:val="6A7A215A"/>
    <w:rsid w:val="6D2B7FF8"/>
    <w:rsid w:val="6DE57AED"/>
    <w:rsid w:val="6DEE6927"/>
    <w:rsid w:val="6E3219E3"/>
    <w:rsid w:val="6F6161A2"/>
    <w:rsid w:val="7098770E"/>
    <w:rsid w:val="70F02FC2"/>
    <w:rsid w:val="71B23569"/>
    <w:rsid w:val="72014A10"/>
    <w:rsid w:val="727D1951"/>
    <w:rsid w:val="750B4D8A"/>
    <w:rsid w:val="75AB609A"/>
    <w:rsid w:val="75BB5677"/>
    <w:rsid w:val="76812D1E"/>
    <w:rsid w:val="78D46403"/>
    <w:rsid w:val="79173D54"/>
    <w:rsid w:val="79452A1F"/>
    <w:rsid w:val="7986211B"/>
    <w:rsid w:val="79BF7A82"/>
    <w:rsid w:val="7BFB1D37"/>
    <w:rsid w:val="7D180DC8"/>
    <w:rsid w:val="7D5F745A"/>
    <w:rsid w:val="7E014270"/>
    <w:rsid w:val="7E81730B"/>
    <w:rsid w:val="7FA4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2019-11-05T12:17:00Z</dcterms:created>
  <dc:creator>Administrator</dc:creator>
  <cp:lastModifiedBy>一顆番茄崽</cp:lastModifiedBy>
  <cp:lastPrinted>2019-11-11T02:50:00Z</cp:lastPrinted>
  <dcterms:modified xsi:type="dcterms:W3CDTF">2019-12-24T00:44:30Z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