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widowControl/>
        <w:suppressLineNumbers w:val="0"/>
        <w:jc w:val="center"/>
        <w:rPr>
          <w:rFonts w:ascii="仿宋_GB2312" w:hAnsi="宋体" w:eastAsia="仿宋_GB2312" w:cs="仿宋_GB2312"/>
          <w:color w:val="000000"/>
          <w:kern w:val="0"/>
          <w:sz w:val="31"/>
          <w:szCs w:val="31"/>
          <w:lang w:val="en-US" w:eastAsia="zh-CN"/>
        </w:rPr>
      </w:pPr>
      <w:r>
        <w:rPr>
          <w:rFonts w:hint="eastAsia" w:ascii="方正小标宋简体" w:hAnsi="方正小标宋简体" w:eastAsia="方正小标宋简体" w:cs="方正小标宋简体"/>
          <w:color w:val="000000"/>
          <w:sz w:val="36"/>
          <w:szCs w:val="36"/>
          <w:lang w:val="en-US" w:eastAsia="zh-CN"/>
        </w:rPr>
        <w:t>义务教育标准化管理示范校、特色校评估推荐领导小组</w:t>
      </w:r>
    </w:p>
    <w:p>
      <w:pPr>
        <w:keepNext w:val="0"/>
        <w:keepLines w:val="0"/>
        <w:widowControl/>
        <w:suppressLineNumbers w:val="0"/>
        <w:jc w:val="left"/>
        <w:rPr>
          <w:rFonts w:ascii="仿宋_GB2312" w:hAnsi="宋体" w:eastAsia="仿宋_GB2312" w:cs="仿宋_GB2312"/>
          <w:color w:val="000000"/>
          <w:kern w:val="0"/>
          <w:sz w:val="31"/>
          <w:szCs w:val="31"/>
          <w:lang w:val="en-US" w:eastAsia="zh-CN"/>
        </w:rPr>
      </w:pPr>
    </w:p>
    <w:p>
      <w:pPr>
        <w:keepNext w:val="0"/>
        <w:keepLines w:val="0"/>
        <w:widowControl/>
        <w:suppressLineNumbers w:val="0"/>
        <w:jc w:val="left"/>
      </w:pPr>
      <w:r>
        <w:rPr>
          <w:rFonts w:ascii="仿宋_GB2312" w:hAnsi="宋体" w:eastAsia="仿宋_GB2312" w:cs="仿宋_GB2312"/>
          <w:color w:val="000000"/>
          <w:kern w:val="0"/>
          <w:sz w:val="31"/>
          <w:szCs w:val="31"/>
          <w:lang w:val="en-US" w:eastAsia="zh-CN"/>
        </w:rPr>
        <w:t xml:space="preserve">组 </w:t>
      </w:r>
      <w:r>
        <w:rPr>
          <w:rFonts w:hint="eastAsia" w:ascii="仿宋_GB2312" w:hAnsi="宋体" w:eastAsia="仿宋_GB2312" w:cs="仿宋_GB2312"/>
          <w:color w:val="000000"/>
          <w:kern w:val="0"/>
          <w:sz w:val="31"/>
          <w:szCs w:val="31"/>
          <w:lang w:val="en-US" w:eastAsia="zh-CN"/>
        </w:rPr>
        <w:t xml:space="preserve"> 长：邱红标 （市教育体育局党组书记、局长）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rPr>
        <w:t xml:space="preserve">副组长：苏红英 （市教育体育局党组成员、副局长）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张国顺 （市教育体育局党组成员、副局长）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郭志勇 （市教育体育局党组成员、副局长） </w:t>
      </w:r>
    </w:p>
    <w:p>
      <w:pPr>
        <w:keepNext w:val="0"/>
        <w:keepLines w:val="0"/>
        <w:widowControl/>
        <w:suppressLineNumbers w:val="0"/>
        <w:ind w:firstLine="1276" w:firstLineChars="400"/>
        <w:jc w:val="left"/>
        <w:rPr>
          <w:rFonts w:hint="eastAsia" w:ascii="仿宋_GB2312" w:hAnsi="宋体" w:eastAsia="仿宋_GB2312" w:cs="仿宋_GB2312"/>
          <w:color w:val="000000"/>
          <w:kern w:val="0"/>
          <w:sz w:val="31"/>
          <w:szCs w:val="31"/>
          <w:lang w:val="en-US" w:eastAsia="zh-CN"/>
        </w:rPr>
      </w:pPr>
      <w:r>
        <w:rPr>
          <w:rFonts w:hint="eastAsia" w:ascii="仿宋_GB2312" w:hAnsi="宋体" w:eastAsia="仿宋_GB2312" w:cs="仿宋_GB2312"/>
          <w:color w:val="000000"/>
          <w:kern w:val="0"/>
          <w:sz w:val="31"/>
          <w:szCs w:val="31"/>
          <w:lang w:val="en-US" w:eastAsia="zh-CN"/>
        </w:rPr>
        <w:t>胡彦军 （市教育体育局党组成员）</w:t>
      </w:r>
    </w:p>
    <w:p>
      <w:pPr>
        <w:keepNext w:val="0"/>
        <w:keepLines w:val="0"/>
        <w:widowControl/>
        <w:suppressLineNumbers w:val="0"/>
        <w:ind w:left="2598" w:leftChars="604" w:hanging="1276" w:hangingChars="400"/>
        <w:jc w:val="left"/>
      </w:pPr>
      <w:r>
        <w:rPr>
          <w:rFonts w:hint="eastAsia" w:ascii="仿宋_GB2312" w:hAnsi="宋体" w:eastAsia="仿宋_GB2312" w:cs="仿宋_GB2312"/>
          <w:color w:val="000000"/>
          <w:kern w:val="0"/>
          <w:sz w:val="31"/>
          <w:szCs w:val="31"/>
          <w:lang w:val="en-US" w:eastAsia="zh-CN"/>
        </w:rPr>
        <w:t xml:space="preserve">陈晓辉 （市教育体育局党组成员、市纪委监委驻市教育体育局纪检监察组组长）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李俊峰 （市教育体育局党组成员、三级调研员）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尹卫东 （市教育体育局党组成员、副局长）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刘子东 （市教育体育局四级调研员）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段晓兵 （市教育体育局四级调研员） </w:t>
      </w:r>
    </w:p>
    <w:p>
      <w:pPr>
        <w:keepNext w:val="0"/>
        <w:keepLines w:val="0"/>
        <w:widowControl/>
        <w:suppressLineNumbers w:val="0"/>
        <w:ind w:firstLine="1276" w:firstLineChars="400"/>
        <w:jc w:val="left"/>
      </w:pPr>
      <w:r>
        <w:rPr>
          <w:rFonts w:hint="eastAsia" w:ascii="仿宋_GB2312" w:hAnsi="宋体" w:eastAsia="仿宋_GB2312" w:cs="仿宋_GB2312"/>
          <w:color w:val="000000"/>
          <w:kern w:val="0"/>
          <w:sz w:val="31"/>
          <w:szCs w:val="31"/>
          <w:lang w:val="en-US" w:eastAsia="zh-CN"/>
        </w:rPr>
        <w:t xml:space="preserve">许  钝 （市教育体育局四级调研员）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rPr>
        <w:t xml:space="preserve">成  员：市教育体育局有关科室和二级机构（基础教育科、财务科、机关党委、政策法规科、安全科、体卫艺科、教师教育科、卫生保健站、资助管理中心、教育技术装备站、教科所、教研室）主要负责同志；派驻纪检监察组有关同志。 </w:t>
      </w:r>
    </w:p>
    <w:p>
      <w:pPr>
        <w:keepNext w:val="0"/>
        <w:keepLines w:val="0"/>
        <w:widowControl/>
        <w:suppressLineNumbers w:val="0"/>
        <w:ind w:firstLine="638" w:firstLineChars="200"/>
        <w:jc w:val="left"/>
        <w:rPr>
          <w:rFonts w:hint="eastAsia" w:ascii="仿宋_GB2312" w:cs="仿宋_GB2312"/>
          <w:color w:val="000000"/>
          <w:sz w:val="32"/>
          <w:szCs w:val="32"/>
        </w:rPr>
      </w:pPr>
      <w:r>
        <w:rPr>
          <w:rFonts w:hint="eastAsia" w:ascii="仿宋_GB2312" w:hAnsi="宋体" w:eastAsia="仿宋_GB2312" w:cs="仿宋_GB2312"/>
          <w:color w:val="000000"/>
          <w:kern w:val="0"/>
          <w:sz w:val="31"/>
          <w:szCs w:val="31"/>
          <w:lang w:val="en-US" w:eastAsia="zh-CN"/>
        </w:rPr>
        <w:t>领导小组办公室设在基础教育科，主任由市教育体育局副局长尹卫东兼任，副主任由基础教育科科长薛建军担任。</w:t>
      </w:r>
    </w:p>
    <w:p>
      <w:pPr>
        <w:keepNext w:val="0"/>
        <w:keepLines w:val="0"/>
        <w:pageBreakBefore w:val="0"/>
        <w:widowControl/>
        <w:kinsoku/>
        <w:wordWrap/>
        <w:overflowPunct/>
        <w:topLinePunct w:val="0"/>
        <w:autoSpaceDE/>
        <w:autoSpaceDN/>
        <w:bidi w:val="0"/>
        <w:adjustRightInd/>
        <w:spacing w:line="560" w:lineRule="exact"/>
        <w:ind w:right="612"/>
        <w:textAlignment w:val="auto"/>
        <w:rPr>
          <w:rFonts w:hint="eastAsia" w:ascii="仿宋_GB2312" w:cs="仿宋_GB2312"/>
          <w:color w:val="000000"/>
          <w:sz w:val="32"/>
          <w:szCs w:val="32"/>
        </w:rPr>
        <w:sectPr>
          <w:footerReference r:id="rId3" w:type="default"/>
          <w:footerReference r:id="rId4" w:type="even"/>
          <w:pgSz w:w="11906" w:h="16838"/>
          <w:pgMar w:top="2098" w:right="1474" w:bottom="1985" w:left="1587" w:header="0" w:footer="1588" w:gutter="0"/>
          <w:pgNumType w:fmt="numberInDash"/>
          <w:cols w:space="720" w:num="1"/>
          <w:docGrid w:type="linesAndChars" w:linePitch="587" w:charSpace="2004"/>
        </w:sectPr>
      </w:pPr>
    </w:p>
    <w:p>
      <w:pPr>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rPr>
          <w:rFonts w:hint="eastAsia" w:ascii="黑体" w:hAnsi="黑体" w:eastAsia="黑体" w:cs="黑体"/>
        </w:rPr>
      </w:pP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河南省义务教育标准化管理示范校评估指标体系</w:t>
      </w:r>
    </w:p>
    <w:tbl>
      <w:tblPr>
        <w:tblStyle w:val="5"/>
        <w:tblW w:w="0" w:type="auto"/>
        <w:jc w:val="center"/>
        <w:tblLayout w:type="fixed"/>
        <w:tblCellMar>
          <w:top w:w="0" w:type="dxa"/>
          <w:left w:w="108" w:type="dxa"/>
          <w:bottom w:w="0" w:type="dxa"/>
          <w:right w:w="108" w:type="dxa"/>
        </w:tblCellMar>
      </w:tblPr>
      <w:tblGrid>
        <w:gridCol w:w="1441"/>
        <w:gridCol w:w="1586"/>
        <w:gridCol w:w="10875"/>
      </w:tblGrid>
      <w:tr>
        <w:tblPrEx>
          <w:tblCellMar>
            <w:top w:w="0" w:type="dxa"/>
            <w:left w:w="108" w:type="dxa"/>
            <w:bottom w:w="0" w:type="dxa"/>
            <w:right w:w="108" w:type="dxa"/>
          </w:tblCellMar>
        </w:tblPrEx>
        <w:trPr>
          <w:trHeight w:val="351" w:hRule="atLeast"/>
          <w:jc w:val="center"/>
        </w:trPr>
        <w:tc>
          <w:tcPr>
            <w:tcW w:w="14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管理职责</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管理任务</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rPr>
              <w:t>管理内容</w:t>
            </w:r>
          </w:p>
        </w:tc>
      </w:tr>
      <w:tr>
        <w:tblPrEx>
          <w:tblCellMar>
            <w:top w:w="0" w:type="dxa"/>
            <w:left w:w="108" w:type="dxa"/>
            <w:bottom w:w="0" w:type="dxa"/>
            <w:right w:w="108" w:type="dxa"/>
          </w:tblCellMar>
        </w:tblPrEx>
        <w:trPr>
          <w:trHeight w:val="985"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一、坚持正确办学方向</w:t>
            </w:r>
          </w:p>
          <w:p>
            <w:pPr>
              <w:keepNext w:val="0"/>
              <w:keepLines w:val="0"/>
              <w:pageBreakBefore w:val="0"/>
              <w:widowControl/>
              <w:kinsoku/>
              <w:wordWrap/>
              <w:overflowPunct/>
              <w:topLinePunct w:val="0"/>
              <w:autoSpaceDE/>
              <w:autoSpaceDN/>
              <w:bidi w:val="0"/>
              <w:adjustRightInd/>
              <w:spacing w:line="320" w:lineRule="exact"/>
              <w:jc w:val="center"/>
              <w:textAlignment w:val="center"/>
              <w:rPr>
                <w:rFonts w:ascii="仿宋_GB2312" w:hAnsi="宋体" w:cs="仿宋_GB2312"/>
                <w:color w:val="000000"/>
                <w:sz w:val="24"/>
                <w:szCs w:val="24"/>
              </w:rPr>
            </w:pPr>
            <w:r>
              <w:rPr>
                <w:rFonts w:hint="eastAsia" w:ascii="仿宋_GB2312" w:hAnsi="宋体" w:cs="仿宋_GB2312"/>
                <w:color w:val="000000"/>
                <w:kern w:val="0"/>
                <w:sz w:val="24"/>
              </w:rPr>
              <w:t>（10分）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1.1贯彻党的教育方针</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1.全面贯彻党的教育方针，落实立德树人根本任务，教育引导学生爱党爱国爱人民爱社会主义。</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2.认真实施素质教育，推动习近平新时代中国特色社会主义思想进校园、进课堂、进头脑，培养德智体美劳全面发展的社会主义建设者和接班人。</w:t>
            </w:r>
          </w:p>
        </w:tc>
      </w:tr>
      <w:tr>
        <w:tblPrEx>
          <w:tblCellMar>
            <w:top w:w="0" w:type="dxa"/>
            <w:left w:w="108" w:type="dxa"/>
            <w:bottom w:w="0" w:type="dxa"/>
            <w:right w:w="108" w:type="dxa"/>
          </w:tblCellMar>
        </w:tblPrEx>
        <w:trPr>
          <w:trHeight w:val="80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center"/>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1.2遵循规律办学</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3.遵循教育规律和学生成长规律，树立正确的教育观、质量关、人才观。</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4.落实德智体美劳全面培养要求，建立科学的评价体系，不得单纯用升学率和考试成绩评价、奖惩师生，着力促进学生全面发展、健康成长。</w:t>
            </w:r>
          </w:p>
        </w:tc>
      </w:tr>
      <w:tr>
        <w:tblPrEx>
          <w:tblCellMar>
            <w:top w:w="0" w:type="dxa"/>
            <w:left w:w="108" w:type="dxa"/>
            <w:bottom w:w="0" w:type="dxa"/>
            <w:right w:w="108" w:type="dxa"/>
          </w:tblCellMar>
        </w:tblPrEx>
        <w:trPr>
          <w:trHeight w:val="950"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center"/>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1.3加强学校党的建设</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5.贯彻落实中组部教育部《关于加强中小学校党的建设工作的意见》、中办《关于加强民办学校党的建设工作的意见（试行）》，全面加强党的建设，充分发挥党组织的政治核心作用，推动学校健康发展。</w:t>
            </w:r>
          </w:p>
          <w:p>
            <w:pPr>
              <w:keepNext w:val="0"/>
              <w:keepLines w:val="0"/>
              <w:pageBreakBefore w:val="0"/>
              <w:kinsoku/>
              <w:wordWrap/>
              <w:overflowPunct/>
              <w:topLinePunct w:val="0"/>
              <w:autoSpaceDE/>
              <w:autoSpaceDN/>
              <w:bidi w:val="0"/>
              <w:adjustRightInd/>
              <w:spacing w:line="320" w:lineRule="exact"/>
              <w:rPr>
                <w:rFonts w:ascii="仿宋_GB2312" w:hAnsi="宋体" w:cs="仿宋_GB2312"/>
                <w:color w:val="000000"/>
                <w:kern w:val="0"/>
                <w:sz w:val="24"/>
                <w:szCs w:val="24"/>
              </w:rPr>
            </w:pPr>
            <w:r>
              <w:rPr>
                <w:rFonts w:hint="eastAsia" w:ascii="仿宋_GB2312" w:hAnsi="宋体" w:cs="仿宋_GB2312"/>
                <w:color w:val="000000"/>
                <w:kern w:val="0"/>
                <w:sz w:val="24"/>
              </w:rPr>
              <w:t>6.学校党建工作成效突出，管理主体和党组织隶属关系明确、规范，党组织和党的工作全面有效覆盖，选优配强党组织书记。突出政治功能，健全工作机制，充分发挥党组织的战斗堡垒作用和党员的先锋模范作用。</w:t>
            </w:r>
          </w:p>
        </w:tc>
      </w:tr>
      <w:tr>
        <w:tblPrEx>
          <w:tblCellMar>
            <w:top w:w="0" w:type="dxa"/>
            <w:left w:w="108" w:type="dxa"/>
            <w:bottom w:w="0" w:type="dxa"/>
            <w:right w:w="108" w:type="dxa"/>
          </w:tblCellMar>
        </w:tblPrEx>
        <w:trPr>
          <w:trHeight w:val="2102" w:hRule="atLeast"/>
          <w:jc w:val="center"/>
        </w:trPr>
        <w:tc>
          <w:tcPr>
            <w:tcW w:w="144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二、保障学生平等权益</w:t>
            </w:r>
          </w:p>
          <w:p>
            <w:pPr>
              <w:keepNext w:val="0"/>
              <w:keepLines w:val="0"/>
              <w:pageBreakBefore w:val="0"/>
              <w:widowControl/>
              <w:kinsoku/>
              <w:wordWrap/>
              <w:overflowPunct/>
              <w:topLinePunct w:val="0"/>
              <w:autoSpaceDE/>
              <w:autoSpaceDN/>
              <w:bidi w:val="0"/>
              <w:adjustRightInd/>
              <w:spacing w:line="320" w:lineRule="exact"/>
              <w:jc w:val="center"/>
              <w:textAlignment w:val="center"/>
              <w:rPr>
                <w:rFonts w:ascii="仿宋_GB2312" w:hAnsi="宋体" w:cs="仿宋_GB2312"/>
                <w:color w:val="000000"/>
                <w:sz w:val="24"/>
                <w:szCs w:val="24"/>
              </w:rPr>
            </w:pPr>
            <w:r>
              <w:rPr>
                <w:rFonts w:hint="eastAsia" w:ascii="仿宋_GB2312" w:hAnsi="宋体" w:cs="仿宋_GB2312"/>
                <w:color w:val="000000"/>
                <w:kern w:val="0"/>
                <w:sz w:val="24"/>
              </w:rPr>
              <w:t>（10分）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2.1维护学生平等入学权利</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7.根据国家法律法规和教育行政部门相关规定，落实招生入学方案，公开招生范围、程序、时间、结果，保障适龄儿童少年平等接受义务教育的权利。</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8.按照教育行政部门统一安排，做好进城务工人员随迁子女就学工作。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9.坚持免试就近入学原则，不举办任何形式的入学或升学考试，不以各类竞赛、考级、奖励证书作为学生入学或升学的依据。不提前招生、提前录取和违规跨区域招生。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10.实行均衡编班，均衡配备师资，不分重点班与非重点班。编班过程邀请相关人员参加，接受各方监督。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11.严格执行国家关于义务教育免费的规定，规范服务性收费和代收费。</w:t>
            </w:r>
          </w:p>
        </w:tc>
      </w:tr>
    </w:tbl>
    <w:p>
      <w:pPr>
        <w:keepNext w:val="0"/>
        <w:keepLines w:val="0"/>
        <w:pageBreakBefore w:val="0"/>
        <w:kinsoku/>
        <w:wordWrap/>
        <w:overflowPunct/>
        <w:topLinePunct w:val="0"/>
        <w:autoSpaceDE/>
        <w:autoSpaceDN/>
        <w:bidi w:val="0"/>
        <w:adjustRightInd/>
        <w:snapToGrid w:val="0"/>
        <w:spacing w:line="320" w:lineRule="exact"/>
        <w:rPr>
          <w:sz w:val="10"/>
          <w:szCs w:val="10"/>
        </w:rPr>
      </w:pPr>
      <w:r>
        <w:br w:type="page"/>
      </w:r>
    </w:p>
    <w:tbl>
      <w:tblPr>
        <w:tblStyle w:val="5"/>
        <w:tblW w:w="13902" w:type="dxa"/>
        <w:jc w:val="center"/>
        <w:tblLayout w:type="fixed"/>
        <w:tblCellMar>
          <w:top w:w="0" w:type="dxa"/>
          <w:left w:w="108" w:type="dxa"/>
          <w:bottom w:w="0" w:type="dxa"/>
          <w:right w:w="108" w:type="dxa"/>
        </w:tblCellMar>
      </w:tblPr>
      <w:tblGrid>
        <w:gridCol w:w="1441"/>
        <w:gridCol w:w="1586"/>
        <w:gridCol w:w="10875"/>
      </w:tblGrid>
      <w:tr>
        <w:tblPrEx>
          <w:tblCellMar>
            <w:top w:w="0" w:type="dxa"/>
            <w:left w:w="108" w:type="dxa"/>
            <w:bottom w:w="0" w:type="dxa"/>
            <w:right w:w="108" w:type="dxa"/>
          </w:tblCellMar>
        </w:tblPrEx>
        <w:trPr>
          <w:trHeight w:val="1257"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2.2建立控辍保学工作机制</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12.执行国家和我省学籍管理相关规定，利用中小学生学籍信息管理系统做好辍学学生标注登记工作，并确保学籍系统信息与实际一致，防止空挂学籍和中途辍学。                                           13.严格执行学生考勤制度，建立和完善辍学学生劝返复学、登记与书面报告制度，加强家校联系，强化家长和适龄儿童少年的法律意识，配合政府部门做好辍学学生劝返复学工作。                                                                    14.</w:t>
            </w:r>
            <w:r>
              <w:rPr>
                <w:rFonts w:hint="eastAsia" w:ascii="仿宋_GB2312" w:hAnsi="宋体" w:cs="仿宋_GB2312"/>
                <w:color w:val="000000"/>
                <w:spacing w:val="-8"/>
                <w:kern w:val="0"/>
                <w:sz w:val="24"/>
                <w:szCs w:val="24"/>
              </w:rPr>
              <w:t>坚持分类施策，对家庭经济困难儿童、留守儿童、残疾儿童、学习困难或厌学学生等分别制定控辍保学措施。</w:t>
            </w:r>
          </w:p>
        </w:tc>
      </w:tr>
      <w:tr>
        <w:tblPrEx>
          <w:tblCellMar>
            <w:top w:w="0" w:type="dxa"/>
            <w:left w:w="108" w:type="dxa"/>
            <w:bottom w:w="0" w:type="dxa"/>
            <w:right w:w="108" w:type="dxa"/>
          </w:tblCellMar>
        </w:tblPrEx>
        <w:trPr>
          <w:trHeight w:val="1054"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2.3满足需要关注学生需求</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15.完善保障教育公平的制度，通过各种途径广泛宣传，不让一名学生受到歧视或欺凌。                                                                     16.坚持合理便利原则满足适龄残疾儿童随班就读需要，并为其学习、生活提供帮助。为需要帮助的儿童提供情感关怀，优先满足留守儿童寄宿、乘坐校车、营养改善需求，寄宿制学校应按政府购买服务的有关规定配备服务人员。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17.按照教育部门统一要求，利用学校在管理、人员、场地、资源等方面的优势，做好课后服务工作。</w:t>
            </w:r>
          </w:p>
        </w:tc>
      </w:tr>
      <w:tr>
        <w:tblPrEx>
          <w:tblCellMar>
            <w:top w:w="0" w:type="dxa"/>
            <w:left w:w="108" w:type="dxa"/>
            <w:bottom w:w="0" w:type="dxa"/>
            <w:right w:w="108" w:type="dxa"/>
          </w:tblCellMar>
        </w:tblPrEx>
        <w:trPr>
          <w:trHeight w:val="90" w:hRule="atLeast"/>
          <w:jc w:val="center"/>
        </w:trPr>
        <w:tc>
          <w:tcPr>
            <w:tcW w:w="1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三、促进学生全面发展</w:t>
            </w:r>
          </w:p>
          <w:p>
            <w:pPr>
              <w:keepNext w:val="0"/>
              <w:keepLines w:val="0"/>
              <w:pageBreakBefore w:val="0"/>
              <w:widowControl/>
              <w:kinsoku/>
              <w:wordWrap/>
              <w:overflowPunct/>
              <w:topLinePunct w:val="0"/>
              <w:autoSpaceDE/>
              <w:autoSpaceDN/>
              <w:bidi w:val="0"/>
              <w:adjustRightInd/>
              <w:spacing w:line="320" w:lineRule="exact"/>
              <w:jc w:val="center"/>
              <w:textAlignment w:val="center"/>
              <w:rPr>
                <w:rFonts w:ascii="仿宋_GB2312" w:hAnsi="宋体" w:cs="仿宋_GB2312"/>
                <w:color w:val="000000"/>
                <w:sz w:val="24"/>
                <w:szCs w:val="24"/>
              </w:rPr>
            </w:pPr>
            <w:r>
              <w:rPr>
                <w:rFonts w:hint="eastAsia" w:ascii="仿宋_GB2312" w:hAnsi="宋体" w:cs="仿宋_GB2312"/>
                <w:color w:val="000000"/>
                <w:kern w:val="0"/>
                <w:sz w:val="24"/>
              </w:rPr>
              <w:t>(20分）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 xml:space="preserve">3.1提升学生道德品质 </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宋体" w:cs="仿宋_GB2312"/>
                <w:color w:val="000000"/>
                <w:kern w:val="0"/>
                <w:sz w:val="24"/>
              </w:rPr>
            </w:pPr>
            <w:r>
              <w:rPr>
                <w:rFonts w:hint="eastAsia" w:ascii="仿宋_GB2312" w:hAnsi="宋体" w:cs="仿宋_GB2312"/>
                <w:color w:val="000000"/>
                <w:kern w:val="0"/>
                <w:sz w:val="24"/>
              </w:rPr>
              <w:t xml:space="preserve">18.落实《中小学德育工作指南》《中小学生守则》及《河南省教育厅关于进一步做好中小学德育工作 </w:t>
            </w:r>
          </w:p>
          <w:p>
            <w:pPr>
              <w:keepNext w:val="0"/>
              <w:keepLines w:val="0"/>
              <w:pageBreakBefore w:val="0"/>
              <w:widowControl/>
              <w:kinsoku/>
              <w:wordWrap/>
              <w:overflowPunct/>
              <w:topLinePunct w:val="0"/>
              <w:autoSpaceDE/>
              <w:autoSpaceDN/>
              <w:bidi w:val="0"/>
              <w:adjustRightInd/>
              <w:snapToGrid/>
              <w:spacing w:line="300" w:lineRule="exact"/>
              <w:jc w:val="left"/>
              <w:rPr>
                <w:rFonts w:ascii="仿宋_GB2312" w:hAnsi="宋体" w:cs="仿宋_GB2312"/>
                <w:color w:val="000000"/>
                <w:kern w:val="0"/>
                <w:sz w:val="24"/>
                <w:szCs w:val="24"/>
              </w:rPr>
            </w:pPr>
            <w:r>
              <w:rPr>
                <w:rFonts w:hint="eastAsia" w:ascii="仿宋_GB2312" w:hAnsi="宋体" w:cs="仿宋_GB2312"/>
                <w:color w:val="000000"/>
                <w:kern w:val="0"/>
                <w:sz w:val="24"/>
              </w:rPr>
              <w:t xml:space="preserve">落实立德树人根本任务的意见》，坚持立德树人，引导学生养成良好思想素质、道德品质和行为习惯，形成积极健康的人格和良好的心理品质，促进学生核心素养提升和全面发展。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19.</w:t>
            </w:r>
            <w:r>
              <w:rPr>
                <w:rFonts w:hint="eastAsia" w:ascii="仿宋_GB2312" w:hAnsi="宋体" w:cs="仿宋_GB2312"/>
                <w:color w:val="000000"/>
                <w:spacing w:val="-8"/>
                <w:kern w:val="0"/>
                <w:sz w:val="24"/>
                <w:szCs w:val="24"/>
              </w:rPr>
              <w:t xml:space="preserve">持续开展系列主题教育活动，加强理想信念教育、社会主义核心价值观教育、中华优秀传统文化教育、民族团结进步教育、国防教育、生态文明教育和心理健康教育。  </w:t>
            </w:r>
            <w:r>
              <w:rPr>
                <w:rFonts w:hint="eastAsia" w:ascii="仿宋_GB2312" w:hAnsi="宋体" w:cs="仿宋_GB2312"/>
                <w:color w:val="000000"/>
                <w:kern w:val="0"/>
                <w:sz w:val="24"/>
              </w:rPr>
              <w:t xml:space="preserve">                                                                                 20.统筹德育资源，创新德育形式，探索课程育人、文化育人、活动育人、实践育人、管理育人、协同育人等多种途径，努力形成全员育人、全程育人、全方位育人的德育工作格局。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21.建立党组织主导、校长负责、群团组织参与、家庭社会联动的德育工作机制。将德育工作经费纳入经费年度预算，优化德育队伍结构，提供德育工作必须的场所、设施。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 xml:space="preserve">22.根据《青少年法治教育大纲》，依据相关学科课程标准，落实多学科协同开展法治教育，培养法治精神，树立法治信仰。 </w:t>
            </w:r>
          </w:p>
        </w:tc>
      </w:tr>
      <w:tr>
        <w:tblPrEx>
          <w:tblCellMar>
            <w:top w:w="0" w:type="dxa"/>
            <w:left w:w="108" w:type="dxa"/>
            <w:bottom w:w="0" w:type="dxa"/>
            <w:right w:w="108" w:type="dxa"/>
          </w:tblCellMar>
        </w:tblPrEx>
        <w:trPr>
          <w:trHeight w:val="55" w:hRule="atLeast"/>
          <w:jc w:val="center"/>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 xml:space="preserve">3.2帮助学生学会学习 </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23.营造良好的学习环境与氛围，激发和保护学生的学习兴趣，培养学生的学习自信心。                                                                     24.遵循教育规律和学生身心发展规律，帮助学生掌握科学的学习方法，养成良好的学习习惯。                                                                      </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25.落实学生主体地位，引导学生独立思考和主动探究，培养学生良好思维品质。                                                26.尊重学生个体差异，采用灵活多样的教学方法，因材施教，培养学生自主学习和终身学习能力。</w:t>
            </w:r>
          </w:p>
        </w:tc>
      </w:tr>
    </w:tbl>
    <w:p/>
    <w:tbl>
      <w:tblPr>
        <w:tblStyle w:val="5"/>
        <w:tblpPr w:leftFromText="180" w:rightFromText="180" w:vertAnchor="text" w:horzAnchor="page" w:tblpX="1544" w:tblpY="123"/>
        <w:tblOverlap w:val="never"/>
        <w:tblW w:w="0" w:type="auto"/>
        <w:tblInd w:w="0" w:type="dxa"/>
        <w:tblLayout w:type="fixed"/>
        <w:tblCellMar>
          <w:top w:w="0" w:type="dxa"/>
          <w:left w:w="108" w:type="dxa"/>
          <w:bottom w:w="0" w:type="dxa"/>
          <w:right w:w="108" w:type="dxa"/>
        </w:tblCellMar>
      </w:tblPr>
      <w:tblGrid>
        <w:gridCol w:w="1441"/>
        <w:gridCol w:w="1586"/>
        <w:gridCol w:w="10875"/>
      </w:tblGrid>
      <w:tr>
        <w:tblPrEx>
          <w:tblCellMar>
            <w:top w:w="0" w:type="dxa"/>
            <w:left w:w="108" w:type="dxa"/>
            <w:bottom w:w="0" w:type="dxa"/>
            <w:right w:w="108" w:type="dxa"/>
          </w:tblCellMar>
        </w:tblPrEx>
        <w:trPr>
          <w:trHeight w:val="3549" w:hRule="atLeast"/>
        </w:trPr>
        <w:tc>
          <w:tcPr>
            <w:tcW w:w="14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3.3增进学生身心健康</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27.落实《中小学心理健康教育指导纲要》和《河南省教育厅办公室关于进一步加强中小学心理健康教育工作的通知》，将心理健康教育贯穿于教育教学全过程，并作为必修课列入课程计划。按照建设指南建立心理辅导室，配备专兼职心理健康教育教师，科学开展心理辅导。                                                                        28.确保学生每天一小时校园体育活动，开足并上好体育课，开展大课间体育活动，使每个学生掌握1至2项体育运动技能，养成体育锻炼习惯。配齐体育教师，加强科学锻炼指导和体育安全管理。保障并有效利用体育场地和设施器材，满足学生体育锻炼需要。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29.建立常态化的校园体育竞赛机制，经常开展班级、年级体育比赛，每年举办全员参与的运动会。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30.落实《国家学生体质健康标准》，定期开展学生体检和体质健康监测，重点监测学生的视力、营养状况和体质健康达标状况，及时向家长反馈。建立学生健康档案，将学生参加体育活动及体质体能健康状况等纳入学生综合素质评价。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31.科学合理安排学校作息时间，确保学生课间和必要的课后自由活动时间，整体规划并控制各学科课后作业量。家校配合保证每天小学生10小时、初中生9小时睡眠时间。                                                                    32.保障室内采光、照明、通风、课桌椅、黑板等设施达到规定标准，端正学生坐姿，做好眼保健操，降低学生近视新发率。</w:t>
            </w:r>
          </w:p>
        </w:tc>
      </w:tr>
      <w:tr>
        <w:trPr>
          <w:trHeight w:val="2138"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3.4提高学生艺术素养</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33.按照国家要求开齐开足音乐、美术课，开设书法课。</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34.利用当地教育资源，开发具有民族的、地域特色的艺术教育选修课程，培养学生艺术爱好，帮助每位学生学会1至2项艺术技能，会唱主旋律歌曲。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35.按照国家课程方案规定的课时数和学校班级数配备艺术教师，设置艺术教室和艺术活动室，并按照国家标准配备艺术课程教学和艺术活动器材，满足艺术教育基本需求。                                                                        36.面向全体学生组织开展艺术活动，因地制宜建立学生艺术社团或兴趣小组。                                                37.充分利用社会艺术教育资源，利用当地文化艺术场地资源开展艺术教学和实践活动，有条件的学校可与社会艺术团体及社区建立合作关系。</w:t>
            </w:r>
          </w:p>
        </w:tc>
      </w:tr>
      <w:tr>
        <w:tblPrEx>
          <w:tblCellMar>
            <w:top w:w="0" w:type="dxa"/>
            <w:left w:w="108" w:type="dxa"/>
            <w:bottom w:w="0" w:type="dxa"/>
            <w:right w:w="108" w:type="dxa"/>
          </w:tblCellMar>
        </w:tblPrEx>
        <w:trPr>
          <w:trHeight w:val="163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3.5提升学生实践能力</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textAlignment w:val="center"/>
              <w:rPr>
                <w:rFonts w:ascii="仿宋_GB2312" w:hAnsi="宋体" w:cs="仿宋_GB2312"/>
                <w:color w:val="000000"/>
                <w:sz w:val="24"/>
                <w:szCs w:val="24"/>
              </w:rPr>
            </w:pPr>
            <w:r>
              <w:rPr>
                <w:rFonts w:hint="eastAsia" w:ascii="仿宋_GB2312" w:hAnsi="宋体" w:cs="仿宋_GB2312"/>
                <w:color w:val="000000"/>
                <w:kern w:val="0"/>
                <w:sz w:val="24"/>
              </w:rPr>
              <w:t>38.落实《中小学综合实践活动课程指导纲要》和河南省教育厅等10部门印发的《关于推进中小学生研学旅行的实施方案》，开齐开足综合实践活动课程，充分利用各类社会实践教育基地，通过考察探究、社会服务、设计制作、职业体验等方式培养学生创新精神和实践能力。每学年安排一至两次研学实践教育或组织一次综合实践交流活动，寒暑假布置与社会实践或劳动相关的作业。</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39.贯彻《关于加强中小学劳动教育的意见》，充分发挥劳动综合育人功能，加强学生生活实践、劳动技术和职业体验教育，家校合作使学生养成家务劳动习惯，掌握基本生活技能，培养学生吃苦耐劳精神。</w:t>
            </w:r>
            <w:r>
              <w:rPr>
                <w:rFonts w:hint="eastAsia" w:ascii="仿宋_GB2312" w:hAnsi="宋体" w:cs="仿宋_GB2312"/>
                <w:color w:val="000000"/>
                <w:kern w:val="0"/>
                <w:sz w:val="24"/>
              </w:rPr>
              <w:br w:type="textWrapping"/>
            </w:r>
            <w:r>
              <w:rPr>
                <w:rFonts w:hint="eastAsia" w:ascii="仿宋_GB2312" w:hAnsi="宋体" w:cs="仿宋_GB2312"/>
                <w:color w:val="000000"/>
                <w:kern w:val="0"/>
                <w:sz w:val="24"/>
              </w:rPr>
              <w:t>40.指导学生利用学校资源、社区和地方资源完成个性化作业和实践性作业。</w:t>
            </w:r>
          </w:p>
        </w:tc>
      </w:tr>
      <w:tr>
        <w:trPr>
          <w:trHeight w:val="90" w:hRule="atLeast"/>
        </w:trPr>
        <w:tc>
          <w:tcPr>
            <w:tcW w:w="1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四、引领教师专业进步</w:t>
            </w:r>
          </w:p>
          <w:p>
            <w:pPr>
              <w:keepNext w:val="0"/>
              <w:keepLines w:val="0"/>
              <w:pageBreakBefore w:val="0"/>
              <w:widowControl/>
              <w:kinsoku/>
              <w:wordWrap/>
              <w:overflowPunct/>
              <w:topLinePunct w:val="0"/>
              <w:autoSpaceDE/>
              <w:autoSpaceDN/>
              <w:bidi w:val="0"/>
              <w:adjustRightInd/>
              <w:spacing w:line="320" w:lineRule="exact"/>
              <w:jc w:val="center"/>
              <w:textAlignment w:val="center"/>
              <w:rPr>
                <w:rFonts w:ascii="仿宋_GB2312" w:hAnsi="宋体" w:cs="仿宋_GB2312"/>
                <w:color w:val="000000"/>
                <w:sz w:val="24"/>
                <w:szCs w:val="24"/>
              </w:rPr>
            </w:pPr>
            <w:r>
              <w:rPr>
                <w:rFonts w:hint="eastAsia" w:ascii="仿宋_GB2312" w:hAnsi="宋体" w:cs="仿宋_GB2312"/>
                <w:color w:val="000000"/>
                <w:kern w:val="0"/>
                <w:sz w:val="24"/>
              </w:rPr>
              <w:t>（20分）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4.1加</w:t>
            </w:r>
            <w:r>
              <w:rPr>
                <w:rFonts w:hint="eastAsia" w:ascii="仿宋_GB2312" w:hAnsi="宋体" w:cs="仿宋_GB2312"/>
                <w:color w:val="000000"/>
                <w:spacing w:val="-10"/>
                <w:kern w:val="0"/>
                <w:sz w:val="24"/>
                <w:szCs w:val="24"/>
              </w:rPr>
              <w:t>强教师管理和职业道德</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41.坚持用习近平新时代中国特色社会主义思想武装教师头脑，按照“四有”好老师标准，加强教师思想政治教育和师德建设，建立健全师德建设长效机制，引导教师严格遵守《中小学教师职业道德规范》，不收受学生或家长礼品，不从事有偿补课。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42.教师语言规范健康，举止文明礼貌，衣着整洁得体。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43.根据《中小学</w:t>
            </w:r>
            <w:r>
              <w:rPr>
                <w:rFonts w:ascii="仿宋_GB2312" w:hAnsi="宋体" w:cs="仿宋_GB2312"/>
                <w:color w:val="000000"/>
                <w:kern w:val="0"/>
                <w:sz w:val="24"/>
              </w:rPr>
              <w:t>教育惩戒规则(试行)》</w:t>
            </w:r>
            <w:r>
              <w:rPr>
                <w:rFonts w:hint="eastAsia" w:ascii="仿宋_GB2312" w:hAnsi="宋体" w:cs="仿宋_GB2312"/>
                <w:color w:val="000000"/>
                <w:kern w:val="0"/>
                <w:sz w:val="24"/>
              </w:rPr>
              <w:t>，结合本校学生特点，依法制定、完善相关制度，明确教育惩戒的具体措施和实施细则。</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44.严格要求教师尊重学生人格，不讽刺、挖苦、歧视学生，以发展眼光看待学生，充分保障未成年人的隐私权和受教育权，避免不当使用处分手段，不得开除学生学籍，不得对受处分学生随意停课，不得歧视受处分学生，不得强迫受处分学生转学和退学。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45.健全教师管理制度，完善教师岗位设置、职称评聘、考核评价和待遇保障机制。落实班主任工作量计算、津贴等待遇。保障教师合法权益，激发教师的积极性和创造性。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46.关心教师生活状况和身心健康，做好教师后勤服务，丰富教师精神文化生活，减缓教师工作压力，定期安排教师体检，帮助解决教师思想问题和实际困难。</w:t>
            </w:r>
          </w:p>
        </w:tc>
      </w:tr>
      <w:tr>
        <w:trPr>
          <w:trHeight w:val="1430"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4.2提高教师教育教学能力</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47.组织教师认真学习课程标准，熟练掌握学科教学的基本要求。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48.针对教学过程中的实际问题开展校本教研，定期开展集体备课、听课、说课、评课等活动，提高教师专业水平和教学能力。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49.落实《中小学班主任工作规定》，结合河南省中小学班主任素养提升工程，制订班主任队伍培训计划，定期组织班主任学习、交流、培训和基本功展示活动，提高班主任组织管理和教育能力。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50.推动教师阅读工作，引导教师学习经典，加强教师教育技能和教学基本功训练，提升教师普通话水平，规范汉字书写，增强学科教学能力。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 xml:space="preserve">51.提高教师信息技术和现代教育装备应用能力，强化实验教学，促进现代科技与教育教学的深度融合。 </w:t>
            </w:r>
          </w:p>
        </w:tc>
      </w:tr>
      <w:tr>
        <w:tblPrEx>
          <w:tblCellMar>
            <w:top w:w="0" w:type="dxa"/>
            <w:left w:w="108" w:type="dxa"/>
            <w:bottom w:w="0" w:type="dxa"/>
            <w:right w:w="108" w:type="dxa"/>
          </w:tblCellMar>
        </w:tblPrEx>
        <w:trPr>
          <w:trHeight w:val="1221"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sz w:val="24"/>
                <w:szCs w:val="24"/>
              </w:rPr>
            </w:pPr>
            <w:r>
              <w:rPr>
                <w:rFonts w:hint="eastAsia" w:ascii="仿宋_GB2312" w:hAnsi="宋体" w:cs="仿宋_GB2312"/>
                <w:color w:val="000000"/>
                <w:kern w:val="0"/>
                <w:sz w:val="24"/>
              </w:rPr>
              <w:t>4.3</w:t>
            </w:r>
            <w:r>
              <w:rPr>
                <w:rFonts w:hint="eastAsia" w:ascii="仿宋_GB2312" w:hAnsi="宋体" w:cs="仿宋_GB2312"/>
                <w:color w:val="000000"/>
                <w:spacing w:val="-10"/>
                <w:kern w:val="0"/>
                <w:sz w:val="24"/>
                <w:szCs w:val="24"/>
              </w:rPr>
              <w:t>建立教师专业发展支持体系</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52.完善教师培训制度，制订教师培训规划，指导教师制订专业发展计划，建立教师专业发展档案，强化师德教育和教学基本功训练。                                                                  53.学校要按照不低于年度公用经费预算总额的5%安排教师培训经费，支持教师参加必要的培训，落实每位教师五年不少于360学时的培训要求。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54.引进优质培训资源，定期开展专题培训，促进教研、科研与培训有机结合，发挥校本研修基础作用。                                                              </w:t>
            </w:r>
          </w:p>
          <w:p>
            <w:pPr>
              <w:keepNext w:val="0"/>
              <w:keepLines w:val="0"/>
              <w:pageBreakBefore w:val="0"/>
              <w:widowControl/>
              <w:kinsoku/>
              <w:wordWrap/>
              <w:overflowPunct/>
              <w:topLinePunct w:val="0"/>
              <w:autoSpaceDE/>
              <w:autoSpaceDN/>
              <w:bidi w:val="0"/>
              <w:adjustRightIn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55.鼓励教师利用网络学习平台开展教研活动，建设教师学习共同体。</w:t>
            </w:r>
          </w:p>
        </w:tc>
      </w:tr>
      <w:tr>
        <w:trPr>
          <w:trHeight w:val="2328" w:hRule="atLeast"/>
        </w:trPr>
        <w:tc>
          <w:tcPr>
            <w:tcW w:w="1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五、提升教育教学水平</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宋体" w:cs="仿宋_GB2312"/>
                <w:color w:val="000000"/>
                <w:sz w:val="24"/>
                <w:szCs w:val="24"/>
              </w:rPr>
            </w:pPr>
            <w:r>
              <w:rPr>
                <w:rFonts w:hint="eastAsia" w:ascii="仿宋_GB2312" w:hAnsi="宋体" w:cs="仿宋_GB2312"/>
                <w:color w:val="000000"/>
                <w:kern w:val="0"/>
                <w:sz w:val="24"/>
              </w:rPr>
              <w:t>（20分)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5.1</w:t>
            </w:r>
            <w:r>
              <w:rPr>
                <w:rFonts w:hint="eastAsia" w:ascii="仿宋_GB2312" w:hAnsi="宋体" w:cs="仿宋_GB2312"/>
                <w:color w:val="000000"/>
                <w:spacing w:val="-10"/>
                <w:kern w:val="0"/>
                <w:sz w:val="24"/>
                <w:szCs w:val="24"/>
              </w:rPr>
              <w:t>建设适合学生发展的课程</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56.落实国家义务教育课程方案和课程标准，严格遵守国家关于教材、教辅管理的相关规定，确保国家课程全面实施。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57.根据学生发展需要和地方、学校、社区资源条件，科学规范开设地方课程和校本课程，编制课程纲要，加强课程实施和管理，为每个学生提供适合的教育，促进学生个性发展。                                                                        58.创新各学科课程实施方式，强化实践育人环节，引导学生动手解决实际问题。                                                59.定期开展学生学习心理研究，研究学生的学习兴趣、动机和个别化学习需要，采取有针对性的措施，改进课程实施和教学效果。</w:t>
            </w:r>
          </w:p>
        </w:tc>
      </w:tr>
      <w:tr>
        <w:trPr>
          <w:trHeight w:val="2231"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sz w:val="24"/>
                <w:szCs w:val="24"/>
              </w:rPr>
            </w:pPr>
            <w:r>
              <w:rPr>
                <w:rFonts w:hint="eastAsia" w:ascii="仿宋_GB2312" w:hAnsi="宋体" w:cs="仿宋_GB2312"/>
                <w:color w:val="000000"/>
                <w:kern w:val="0"/>
                <w:sz w:val="24"/>
              </w:rPr>
              <w:t>5.2</w:t>
            </w:r>
            <w:r>
              <w:rPr>
                <w:rFonts w:hint="eastAsia" w:ascii="仿宋_GB2312" w:hAnsi="宋体" w:cs="仿宋_GB2312"/>
                <w:color w:val="000000"/>
                <w:spacing w:val="-10"/>
                <w:kern w:val="0"/>
                <w:sz w:val="24"/>
                <w:szCs w:val="24"/>
              </w:rPr>
              <w:t>实施以学生发展为本的教学</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60.定期组织教研活动，健全听评课制度，定期开展教学质量分析，建立基于过程的学校教学质量保障机制，统筹课程、教材、教学、评价等环节，主动收集学生反馈意见，及时改进教学。                                                                  61.小学和初中起始年级坚持“零起点”教学，不拔高教学要求，不加快教学进度。采取启发式、讨论式、合作式、探究式等多种教学方式，提高学生参与课堂学习的主动性和积极性。                                                                      62.创新作业方式，避免布置重复机械的练习，可根据学生掌握情况布置分层作业。不得布置超越学生能力的作业，不得以增加作业量的方式惩罚学生。</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63.规范作业布置形式，禁止给学生家长或变相布置作业，不得要求家长检查、批改作业。</w:t>
            </w:r>
          </w:p>
        </w:tc>
      </w:tr>
      <w:tr>
        <w:tblPrEx>
          <w:tblCellMar>
            <w:top w:w="0" w:type="dxa"/>
            <w:left w:w="108" w:type="dxa"/>
            <w:bottom w:w="0" w:type="dxa"/>
            <w:right w:w="108" w:type="dxa"/>
          </w:tblCellMar>
        </w:tblPrEx>
        <w:trPr>
          <w:trHeight w:val="198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5.3</w:t>
            </w:r>
            <w:r>
              <w:rPr>
                <w:rFonts w:hint="eastAsia" w:ascii="仿宋_GB2312" w:hAnsi="宋体" w:cs="仿宋_GB2312"/>
                <w:color w:val="000000"/>
                <w:spacing w:val="-10"/>
                <w:kern w:val="0"/>
                <w:sz w:val="24"/>
                <w:szCs w:val="24"/>
              </w:rPr>
              <w:t>建立促进学生发展的评价</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64.对照中小学教育质量综合评价改革指标体系，进行监测，改进教育教学。                                                    65.实施综合素质评价，重点考察学生的思想品德、学业水平、身心健康、艺术素养、社会实践等方面的发展情况。建立学生综合素质档案，做好学生成长记录，真实反映学生发展状况。                                                                    66.控制考试次数，探索实施等级加评语的评价方式。依据课程标准的规定和要求确定考试内容，对相关科目的实验操作考试提出要求。命题应紧密联系社会实际和学生生活经验，注重加强对能力的考察。考试成绩不进行公开排名，不以分数作为评价学生的唯一标准。</w:t>
            </w:r>
          </w:p>
        </w:tc>
      </w:tr>
      <w:tr>
        <w:trPr>
          <w:trHeight w:val="1393"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5.4</w:t>
            </w:r>
            <w:r>
              <w:rPr>
                <w:rFonts w:hint="eastAsia" w:ascii="仿宋_GB2312" w:hAnsi="宋体" w:cs="仿宋_GB2312"/>
                <w:color w:val="000000"/>
                <w:spacing w:val="-10"/>
                <w:kern w:val="0"/>
                <w:sz w:val="24"/>
                <w:szCs w:val="24"/>
              </w:rPr>
              <w:t>提供便利实用的教学资源</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67.按照规定配置教学资源和设施设备，指定专人负责，建立资产台账，定期维护保养。                                                                    68.落实《中小学图书馆（室）规程》，加强图书馆建设与应用，提升服务教育教学能力。</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69.建立实验室、功能教室等的使用管理制度，面向学生充分开放，提高使用效益。鼓励师生因地制宜，自主开发改进教具（学具），进行创新实验等。</w:t>
            </w:r>
          </w:p>
        </w:tc>
      </w:tr>
      <w:tr>
        <w:tblPrEx>
          <w:tblCellMar>
            <w:top w:w="0" w:type="dxa"/>
            <w:left w:w="108" w:type="dxa"/>
            <w:bottom w:w="0" w:type="dxa"/>
            <w:right w:w="108" w:type="dxa"/>
          </w:tblCellMar>
        </w:tblPrEx>
        <w:trPr>
          <w:trHeight w:val="2366" w:hRule="atLeast"/>
        </w:trPr>
        <w:tc>
          <w:tcPr>
            <w:tcW w:w="1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六、营造和谐美丽环境</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宋体" w:cs="仿宋_GB2312"/>
                <w:color w:val="000000"/>
                <w:sz w:val="24"/>
                <w:szCs w:val="24"/>
              </w:rPr>
            </w:pPr>
            <w:r>
              <w:rPr>
                <w:rFonts w:hint="eastAsia" w:ascii="仿宋_GB2312" w:hAnsi="宋体" w:cs="仿宋_GB2312"/>
                <w:color w:val="000000"/>
                <w:kern w:val="0"/>
                <w:sz w:val="24"/>
              </w:rPr>
              <w:t>(10分）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6.1建立切实可行的安全与健康管理制度</w:t>
            </w:r>
          </w:p>
        </w:tc>
        <w:tc>
          <w:tcPr>
            <w:tcW w:w="10875"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70.积极借助政府部门、社会力量、专业组织，构建学校安全风险管理体系，形成以校方责任险为核心的校园保险体系。组织教职工学习有关安全工作的法律法规，落实《中小学校岗位安全工作指南》。                                                      71.落实《国务院办公厅关于加强中小学幼儿园安全风险防控体系建设的意见》《中小学幼儿园安全管理办法》《学校食品安全与营养健康管理规定》，建立健全学校安全卫生管理制度和工作机制，采取切实措施，确保学校师生人身安全、食品饮水安全、设施安全和活动安全。使用校车的学校严格执行国家校车安全管理制度。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72.制订突发事件应急预案，预防和应对不法分子入侵、自然灾害和公共卫生事件，落实防治校园欺凌和暴力的有关要求。建立事故报告制度，任何单位和个人不得对事故迟报、漏报、谎报或者瞒报。</w:t>
            </w:r>
          </w:p>
        </w:tc>
      </w:tr>
      <w:tr>
        <w:tblPrEx>
          <w:tblCellMar>
            <w:top w:w="0" w:type="dxa"/>
            <w:left w:w="108" w:type="dxa"/>
            <w:bottom w:w="0" w:type="dxa"/>
            <w:right w:w="108" w:type="dxa"/>
          </w:tblCellMar>
        </w:tblPrEx>
        <w:trPr>
          <w:trHeight w:val="1689"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sz w:val="24"/>
                <w:szCs w:val="24"/>
              </w:rPr>
            </w:pPr>
            <w:r>
              <w:rPr>
                <w:rFonts w:hint="eastAsia" w:ascii="仿宋_GB2312" w:hAnsi="宋体" w:cs="仿宋_GB2312"/>
                <w:color w:val="000000"/>
                <w:kern w:val="0"/>
                <w:sz w:val="24"/>
              </w:rPr>
              <w:t>6.2</w:t>
            </w:r>
            <w:r>
              <w:rPr>
                <w:rFonts w:hint="eastAsia" w:ascii="仿宋_GB2312" w:hAnsi="宋体" w:cs="仿宋_GB2312"/>
                <w:color w:val="000000"/>
                <w:spacing w:val="-12"/>
                <w:kern w:val="0"/>
                <w:sz w:val="24"/>
                <w:szCs w:val="24"/>
              </w:rPr>
              <w:t>建设安全卫生的学校基础设施</w:t>
            </w:r>
          </w:p>
        </w:tc>
        <w:tc>
          <w:tcPr>
            <w:tcW w:w="108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73.配备保障学生安全与健康的基本设施和设备，落实人防、物防和技防等相关要求。学校教育、教学及生活所用的设施、设备、场所要经权威部门检测、符合国家环保、安全等标准后方可使用。                                                            74.建立校园安全工作台账，定期开展校舍及其他基础设施安全隐患排查和整治工作。校舍安全隐患要及时向主管部门书面报告。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75.设立卫生室或保健室，按要求配备专兼职卫生技术人员，落实日常卫生保健制度。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76.设置安全警示标识和安全、卫生教育宣传橱窗，定期更换宣传内容。</w:t>
            </w:r>
          </w:p>
        </w:tc>
      </w:tr>
      <w:tr>
        <w:trPr>
          <w:trHeight w:val="1631"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sz w:val="24"/>
                <w:szCs w:val="24"/>
              </w:rPr>
            </w:pPr>
            <w:r>
              <w:rPr>
                <w:rFonts w:hint="eastAsia" w:ascii="仿宋_GB2312" w:hAnsi="宋体" w:cs="仿宋_GB2312"/>
                <w:color w:val="000000"/>
                <w:kern w:val="0"/>
                <w:sz w:val="24"/>
              </w:rPr>
              <w:t>6.3开展以生活技能为基础的安全健康教育</w:t>
            </w:r>
          </w:p>
        </w:tc>
        <w:tc>
          <w:tcPr>
            <w:tcW w:w="1087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77.落实《中小学公共安全教育指导纲要》，突出强化预防溺水和交通安全教育，有计划地开展国家安全、社会安全、公共卫生、意外伤害、网络安全、自然灾害及影响学生安全的其他事故或事件教育，了解保障安全的方法并掌握一定技能。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78.落实《中小学健康教育指导纲要》，有计划地开展健康教育、禁毒和预防艾滋病教育，普及疾病预防、营养与食品安全及生长发育、青春期保健知识和技能，提升师生健康素养。                                                                  79.落实《</w:t>
            </w:r>
            <w:r>
              <w:rPr>
                <w:rFonts w:hint="eastAsia" w:ascii="仿宋_GB2312" w:hAnsi="宋体" w:cs="仿宋_GB2312"/>
                <w:color w:val="000000"/>
                <w:spacing w:val="-12"/>
                <w:kern w:val="0"/>
                <w:sz w:val="24"/>
                <w:szCs w:val="24"/>
              </w:rPr>
              <w:t>中小学幼儿园应急疏散演练指南》，定期开展应急演练，提高师生应对突发事件和自救自护能力。</w:t>
            </w:r>
          </w:p>
        </w:tc>
      </w:tr>
      <w:tr>
        <w:tblPrEx>
          <w:tblCellMar>
            <w:top w:w="0" w:type="dxa"/>
            <w:left w:w="108" w:type="dxa"/>
            <w:bottom w:w="0" w:type="dxa"/>
            <w:right w:w="108" w:type="dxa"/>
          </w:tblCellMar>
        </w:tblPrEx>
        <w:trPr>
          <w:trHeight w:val="168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仿宋_GB2312" w:hAnsi="宋体" w:cs="仿宋_GB2312"/>
                <w:color w:val="000000"/>
                <w:sz w:val="24"/>
                <w:szCs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6.4</w:t>
            </w:r>
            <w:r>
              <w:rPr>
                <w:rFonts w:hint="eastAsia" w:ascii="仿宋_GB2312" w:hAnsi="宋体" w:cs="仿宋_GB2312"/>
                <w:color w:val="000000"/>
                <w:spacing w:val="-6"/>
                <w:kern w:val="0"/>
                <w:sz w:val="24"/>
                <w:szCs w:val="24"/>
              </w:rPr>
              <w:t>营造健康向上的学校文化</w:t>
            </w:r>
          </w:p>
        </w:tc>
        <w:tc>
          <w:tcPr>
            <w:tcW w:w="10875"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rPr>
              <w:t xml:space="preserve">80.立足学校实际和文化积淀，结合区域特点，建设体现学校办学理念和思想的学校文化，增强学校凝聚力，建设温馨校园，引领学校内涵发展。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81.做好校园净化、绿化、美化工作，合理设计和布置校园，有效利用空间和墙面，建设生态校园、文化校园、书香校园，发挥环境育人功能。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sz w:val="24"/>
                <w:szCs w:val="24"/>
              </w:rPr>
            </w:pPr>
            <w:r>
              <w:rPr>
                <w:rFonts w:hint="eastAsia" w:ascii="仿宋_GB2312" w:hAnsi="宋体" w:cs="仿宋_GB2312"/>
                <w:color w:val="000000"/>
                <w:kern w:val="0"/>
                <w:sz w:val="24"/>
              </w:rPr>
              <w:t>82.每年通过科技节、艺术节、体育节、读书节等形式，因地制宜组织丰富多彩的全员参与的学校活动。</w:t>
            </w:r>
          </w:p>
        </w:tc>
      </w:tr>
      <w:tr>
        <w:trPr>
          <w:trHeight w:val="2279" w:hRule="atLeast"/>
        </w:trPr>
        <w:tc>
          <w:tcPr>
            <w:tcW w:w="144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七、建设现代学校制度</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仿宋_GB2312" w:hAnsi="宋体" w:cs="仿宋_GB2312"/>
                <w:color w:val="000000"/>
                <w:kern w:val="0"/>
                <w:sz w:val="24"/>
              </w:rPr>
            </w:pPr>
            <w:r>
              <w:rPr>
                <w:rFonts w:hint="eastAsia" w:ascii="仿宋_GB2312" w:hAnsi="宋体" w:cs="仿宋_GB2312"/>
                <w:color w:val="000000"/>
                <w:kern w:val="0"/>
                <w:sz w:val="24"/>
              </w:rPr>
              <w:t>（10分）</w:t>
            </w: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7.1提升依法科学管理能力</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83.规范学校办学行为，提升学校治理水平，推进学校特色建设，增强学校办学活力。</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84.加强学生手机管理工作，细化管理措施，加强教育引导，做好家校沟通，强化督导检查。</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85.强化日常监管，建立各类“进校园”活动审批备案机制，严禁商业广告、商业活动进入校园。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86.每年组织教职员工学习宪法、教育法、义务教育法、教师法、未成年人保护法等法律，增强法治观念，提升依法治教、依法治校能力。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87.依法制定和修订学校章程，健全完善章程执行和监督机制。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88.制定学校发展规划，确定年度实施方案，客观评估办学绩效。</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89.健全管理制度，建立便捷规范的办事程序，完善内部机构组织规则、议事规则等。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90.认真落实《中小学校财务制度》，做好财务管理和内审工作。</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91.指定专人负责学校法治事务，建立学校法律顾问制度，充分运用法律手段维护学校合法权益。</w:t>
            </w:r>
          </w:p>
        </w:tc>
      </w:tr>
      <w:tr>
        <w:trPr>
          <w:trHeight w:val="1841"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7.2建立健全民主管理制度</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 xml:space="preserve">92.坚持民主集中制，定期召开校务会议，健全学校教职工（代表）大会制度，将涉及教职工切身利益及学校发展的重要事项，提交教职工（代表）大会讨论通过。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93.设置信息公告栏，公开校务信息，公示收费项目、标准、依据等，保证教职工、学生、相关社会公众对学校重大事项、重要制度的知情权。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 xml:space="preserve">94.建立问题协商机制，听取学生、教职工和家长的意见和建议，有效化解相关矛盾。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95.发挥少先队、共青团、学生会、学生社团的作用，引导学生自我管理或参与学校治理。</w:t>
            </w:r>
          </w:p>
        </w:tc>
      </w:tr>
      <w:tr>
        <w:tblPrEx>
          <w:tblCellMar>
            <w:top w:w="0" w:type="dxa"/>
            <w:left w:w="108" w:type="dxa"/>
            <w:bottom w:w="0" w:type="dxa"/>
            <w:right w:w="108" w:type="dxa"/>
          </w:tblCellMar>
        </w:tblPrEx>
        <w:trPr>
          <w:trHeight w:val="1711"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p>
        </w:tc>
        <w:tc>
          <w:tcPr>
            <w:tcW w:w="158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7.3构建和谐家庭、学校、社区合作关系</w:t>
            </w:r>
          </w:p>
        </w:tc>
        <w:tc>
          <w:tcPr>
            <w:tcW w:w="108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 xml:space="preserve">96.健全和完善家长委员会制度，建立家长学校，设立学校开放日，提高家长在学校治理中的参与度，引导家长树立正确的人才观和成才观，形成育人合力。                                                                     97.引入社会和利益相关者的监督，密切学校与社区联系，促进社区代表参与学校治理。                                                                     98.主动争取社会资源和社会力量支持学校改革发展。                             </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宋体" w:cs="仿宋_GB2312"/>
                <w:color w:val="000000"/>
                <w:kern w:val="0"/>
                <w:sz w:val="24"/>
              </w:rPr>
            </w:pPr>
            <w:r>
              <w:rPr>
                <w:rFonts w:hint="eastAsia" w:ascii="仿宋_GB2312" w:hAnsi="宋体" w:cs="仿宋_GB2312"/>
                <w:color w:val="000000"/>
                <w:kern w:val="0"/>
                <w:sz w:val="24"/>
              </w:rPr>
              <w:t>99.有条件的学校可将体育文化设施在课后和节假日对本校师生和所在社区居民有序开放。</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仿宋_GB2312" w:hAnsi="宋体" w:cs="仿宋_GB2312"/>
                <w:color w:val="000000"/>
                <w:kern w:val="0"/>
                <w:sz w:val="24"/>
              </w:rPr>
            </w:pPr>
            <w:r>
              <w:rPr>
                <w:rFonts w:hint="eastAsia" w:ascii="仿宋_GB2312" w:hAnsi="宋体" w:cs="仿宋_GB2312"/>
                <w:color w:val="000000"/>
                <w:kern w:val="0"/>
                <w:sz w:val="24"/>
              </w:rPr>
              <w:t>100.师生、社会满意度不断提升。</w:t>
            </w:r>
          </w:p>
        </w:tc>
      </w:tr>
    </w:tbl>
    <w:p>
      <w:pPr>
        <w:keepNext w:val="0"/>
        <w:keepLines w:val="0"/>
        <w:pageBreakBefore w:val="0"/>
        <w:kinsoku/>
        <w:wordWrap/>
        <w:overflowPunct/>
        <w:topLinePunct w:val="0"/>
        <w:autoSpaceDE/>
        <w:autoSpaceDN/>
        <w:bidi w:val="0"/>
        <w:adjustRightInd/>
        <w:snapToGrid w:val="0"/>
        <w:spacing w:line="320" w:lineRule="exact"/>
        <w:rPr>
          <w:sz w:val="10"/>
          <w:szCs w:val="10"/>
        </w:rPr>
      </w:pPr>
    </w:p>
    <w:p>
      <w:pPr>
        <w:keepNext w:val="0"/>
        <w:keepLines w:val="0"/>
        <w:pageBreakBefore w:val="0"/>
        <w:kinsoku/>
        <w:wordWrap/>
        <w:overflowPunct/>
        <w:topLinePunct w:val="0"/>
        <w:autoSpaceDE/>
        <w:autoSpaceDN/>
        <w:bidi w:val="0"/>
        <w:adjustRightInd/>
        <w:snapToGrid/>
        <w:spacing w:line="320" w:lineRule="exact"/>
        <w:jc w:val="center"/>
        <w:rPr>
          <w:rFonts w:hint="eastAsia" w:ascii="方正小标宋简体" w:hAnsi="方正小标宋简体" w:eastAsia="方正小标宋简体" w:cs="方正小标宋简体"/>
          <w:sz w:val="44"/>
          <w:szCs w:val="44"/>
        </w:rPr>
      </w:pPr>
    </w:p>
    <w:p>
      <w:pPr>
        <w:widowControl/>
        <w:jc w:val="left"/>
        <w:rPr>
          <w:rFonts w:ascii="仿宋_GB2312" w:hAnsi="仿宋_GB2312" w:cs="仿宋_GB2312"/>
        </w:rPr>
        <w:sectPr>
          <w:pgSz w:w="16838" w:h="11906" w:orient="landscape"/>
          <w:pgMar w:top="1644" w:right="1985" w:bottom="1588" w:left="1928" w:header="0" w:footer="1588" w:gutter="0"/>
          <w:pgNumType w:fmt="numberInDash"/>
          <w:cols w:space="720" w:num="1"/>
          <w:docGrid w:type="lines" w:linePitch="312" w:charSpace="0"/>
        </w:sect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napToGrid w:val="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河南省义务教育标准化管理示范校、特色校</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  报  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1"/>
        <w:gridCol w:w="1293"/>
        <w:gridCol w:w="1650"/>
        <w:gridCol w:w="1362"/>
        <w:gridCol w:w="1287"/>
        <w:gridCol w:w="1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rPr>
              <w:t>学校名称</w:t>
            </w:r>
          </w:p>
          <w:p>
            <w:pPr>
              <w:snapToGrid w:val="0"/>
              <w:jc w:val="center"/>
              <w:rPr>
                <w:rFonts w:ascii="仿宋_GB2312" w:hAnsi="仿宋_GB2312" w:cs="仿宋_GB2312"/>
                <w:sz w:val="24"/>
                <w:szCs w:val="24"/>
              </w:rPr>
            </w:pPr>
            <w:r>
              <w:rPr>
                <w:rFonts w:hint="eastAsia" w:ascii="仿宋_GB2312" w:hAnsi="仿宋_GB2312" w:cs="仿宋_GB2312"/>
                <w:sz w:val="24"/>
              </w:rPr>
              <w:t>（规范全称）</w:t>
            </w:r>
          </w:p>
        </w:tc>
        <w:tc>
          <w:tcPr>
            <w:tcW w:w="7441"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p>
          <w:p>
            <w:pPr>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kern w:val="0"/>
                <w:sz w:val="24"/>
                <w:szCs w:val="24"/>
              </w:rPr>
            </w:pPr>
            <w:r>
              <w:rPr>
                <w:rFonts w:hint="eastAsia" w:ascii="仿宋_GB2312" w:hAnsi="仿宋_GB2312" w:cs="仿宋_GB2312"/>
                <w:spacing w:val="-14"/>
                <w:kern w:val="0"/>
                <w:sz w:val="24"/>
              </w:rPr>
              <w:t>申报类别</w:t>
            </w:r>
          </w:p>
        </w:tc>
        <w:tc>
          <w:tcPr>
            <w:tcW w:w="7441" w:type="dxa"/>
            <w:gridSpan w:val="5"/>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cs="仿宋_GB2312"/>
                <w:spacing w:val="-14"/>
                <w:kern w:val="0"/>
                <w:sz w:val="24"/>
                <w:szCs w:val="24"/>
              </w:rPr>
            </w:pPr>
            <w:r>
              <w:rPr>
                <w:rFonts w:hint="eastAsia" w:ascii="仿宋_GB2312" w:hAnsi="仿宋_GB2312" w:cs="仿宋_GB2312"/>
                <w:spacing w:val="-14"/>
                <w:kern w:val="0"/>
                <w:sz w:val="24"/>
              </w:rPr>
              <w:t>□示范校    □特色校（学校特色：</w:t>
            </w:r>
            <w:r>
              <w:rPr>
                <w:rFonts w:hint="eastAsia" w:ascii="黑体" w:hAnsi="黑体" w:eastAsia="黑体" w:cs="黑体"/>
                <w:color w:val="333333"/>
                <w:sz w:val="28"/>
                <w:szCs w:val="28"/>
                <w:shd w:val="clear" w:color="auto" w:fill="FFFFFF"/>
              </w:rPr>
              <w:t>______________</w:t>
            </w:r>
            <w:r>
              <w:rPr>
                <w:rFonts w:hint="eastAsia" w:ascii="仿宋_GB2312" w:hAnsi="仿宋_GB2312" w:cs="仿宋_GB2312"/>
                <w:spacing w:val="-14"/>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pacing w:val="-14"/>
                <w:kern w:val="0"/>
                <w:sz w:val="24"/>
              </w:rPr>
              <w:t>学校类型</w:t>
            </w:r>
          </w:p>
        </w:tc>
        <w:tc>
          <w:tcPr>
            <w:tcW w:w="294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cs="仿宋_GB2312"/>
                <w:sz w:val="24"/>
                <w:szCs w:val="24"/>
              </w:rPr>
            </w:pPr>
            <w:r>
              <w:rPr>
                <w:rFonts w:hint="eastAsia" w:ascii="仿宋_GB2312" w:hAnsi="仿宋_GB2312" w:cs="仿宋_GB2312"/>
                <w:spacing w:val="-14"/>
                <w:kern w:val="0"/>
                <w:sz w:val="24"/>
              </w:rPr>
              <w:t>□</w:t>
            </w:r>
            <w:r>
              <w:rPr>
                <w:rFonts w:hint="eastAsia" w:ascii="仿宋_GB2312" w:hAnsi="仿宋_GB2312" w:cs="仿宋_GB2312"/>
                <w:sz w:val="24"/>
              </w:rPr>
              <w:t xml:space="preserve">小学  </w:t>
            </w:r>
            <w:r>
              <w:rPr>
                <w:rFonts w:hint="eastAsia" w:ascii="仿宋_GB2312" w:hAnsi="仿宋_GB2312" w:cs="仿宋_GB2312"/>
                <w:spacing w:val="-14"/>
                <w:kern w:val="0"/>
                <w:sz w:val="24"/>
              </w:rPr>
              <w:t>□</w:t>
            </w:r>
            <w:r>
              <w:rPr>
                <w:rFonts w:hint="eastAsia" w:ascii="仿宋_GB2312" w:hAnsi="仿宋_GB2312" w:cs="仿宋_GB2312"/>
                <w:sz w:val="24"/>
              </w:rPr>
              <w:t xml:space="preserve">初中  </w:t>
            </w:r>
            <w:r>
              <w:rPr>
                <w:rFonts w:hint="eastAsia" w:ascii="仿宋_GB2312" w:hAnsi="仿宋_GB2312" w:cs="仿宋_GB2312"/>
                <w:spacing w:val="-14"/>
                <w:kern w:val="0"/>
                <w:sz w:val="24"/>
              </w:rPr>
              <w:t>□</w:t>
            </w:r>
            <w:r>
              <w:rPr>
                <w:rFonts w:hint="eastAsia" w:ascii="仿宋_GB2312" w:hAnsi="仿宋_GB2312" w:cs="仿宋_GB2312"/>
                <w:sz w:val="24"/>
              </w:rPr>
              <w:t xml:space="preserve">完全中学初中部  </w:t>
            </w:r>
            <w:r>
              <w:rPr>
                <w:rFonts w:hint="eastAsia" w:ascii="仿宋_GB2312" w:hAnsi="仿宋_GB2312" w:cs="仿宋_GB2312"/>
                <w:spacing w:val="-14"/>
                <w:kern w:val="0"/>
                <w:sz w:val="24"/>
              </w:rPr>
              <w:t>□</w:t>
            </w:r>
            <w:r>
              <w:rPr>
                <w:rFonts w:hint="eastAsia" w:ascii="仿宋_GB2312" w:hAnsi="仿宋_GB2312" w:cs="仿宋_GB2312"/>
                <w:sz w:val="24"/>
              </w:rPr>
              <w:t xml:space="preserve">九年一贯制学校 </w:t>
            </w: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pacing w:val="-14"/>
                <w:sz w:val="24"/>
              </w:rPr>
              <w:t>办学性质</w:t>
            </w:r>
          </w:p>
        </w:tc>
        <w:tc>
          <w:tcPr>
            <w:tcW w:w="313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cs="仿宋_GB2312"/>
                <w:sz w:val="24"/>
                <w:szCs w:val="24"/>
              </w:rPr>
            </w:pPr>
            <w:r>
              <w:rPr>
                <w:rFonts w:hint="eastAsia" w:ascii="仿宋_GB2312" w:hAnsi="仿宋_GB2312" w:cs="仿宋_GB2312"/>
                <w:spacing w:val="-14"/>
                <w:kern w:val="0"/>
                <w:sz w:val="24"/>
              </w:rPr>
              <w:t xml:space="preserve">□公办   □民办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rPr>
              <w:t>学校负责人</w:t>
            </w:r>
          </w:p>
        </w:tc>
        <w:tc>
          <w:tcPr>
            <w:tcW w:w="2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rPr>
              <w:t>联系电话</w:t>
            </w:r>
          </w:p>
        </w:tc>
        <w:tc>
          <w:tcPr>
            <w:tcW w:w="31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rPr>
              <w:t>通讯地址</w:t>
            </w:r>
          </w:p>
        </w:tc>
        <w:tc>
          <w:tcPr>
            <w:tcW w:w="29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r>
              <w:rPr>
                <w:rFonts w:hint="eastAsia" w:ascii="仿宋_GB2312" w:hAnsi="仿宋_GB2312" w:cs="仿宋_GB2312"/>
                <w:sz w:val="24"/>
              </w:rPr>
              <w:t>邮编</w:t>
            </w:r>
          </w:p>
        </w:tc>
        <w:tc>
          <w:tcPr>
            <w:tcW w:w="313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sz w:val="24"/>
                <w:szCs w:val="24"/>
              </w:rPr>
            </w:pPr>
            <w:r>
              <w:rPr>
                <w:rFonts w:hint="eastAsia" w:ascii="仿宋_GB2312" w:hAnsi="仿宋_GB2312" w:cs="仿宋_GB2312"/>
                <w:spacing w:val="-14"/>
                <w:sz w:val="24"/>
              </w:rPr>
              <w:t>学生数</w:t>
            </w:r>
          </w:p>
        </w:tc>
        <w:tc>
          <w:tcPr>
            <w:tcW w:w="12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sz w:val="24"/>
                <w:szCs w:val="24"/>
              </w:rPr>
            </w:pPr>
          </w:p>
        </w:tc>
        <w:tc>
          <w:tcPr>
            <w:tcW w:w="16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sz w:val="24"/>
                <w:szCs w:val="24"/>
              </w:rPr>
            </w:pPr>
            <w:r>
              <w:rPr>
                <w:rFonts w:hint="eastAsia" w:ascii="仿宋_GB2312" w:hAnsi="仿宋_GB2312" w:cs="仿宋_GB2312"/>
                <w:spacing w:val="-14"/>
                <w:sz w:val="24"/>
              </w:rPr>
              <w:t>班级数</w:t>
            </w:r>
          </w:p>
        </w:tc>
        <w:tc>
          <w:tcPr>
            <w:tcW w:w="13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sz w:val="24"/>
                <w:szCs w:val="24"/>
              </w:rPr>
            </w:pPr>
          </w:p>
        </w:tc>
        <w:tc>
          <w:tcPr>
            <w:tcW w:w="12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sz w:val="24"/>
                <w:szCs w:val="24"/>
              </w:rPr>
            </w:pPr>
            <w:r>
              <w:rPr>
                <w:rFonts w:hint="eastAsia" w:ascii="仿宋_GB2312" w:hAnsi="仿宋_GB2312" w:cs="仿宋_GB2312"/>
                <w:spacing w:val="-14"/>
                <w:sz w:val="24"/>
              </w:rPr>
              <w:t>教师数</w:t>
            </w:r>
          </w:p>
        </w:tc>
        <w:tc>
          <w:tcPr>
            <w:tcW w:w="1849"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cs="仿宋_GB2312"/>
                <w:spacing w:val="-1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_GB2312" w:cs="仿宋_GB2312"/>
                <w:spacing w:val="-14"/>
                <w:sz w:val="24"/>
                <w:szCs w:val="24"/>
              </w:rPr>
            </w:pPr>
            <w:r>
              <w:rPr>
                <w:rFonts w:hint="eastAsia" w:ascii="仿宋_GB2312" w:hAnsi="仿宋_GB2312" w:cs="仿宋_GB2312"/>
                <w:spacing w:val="-14"/>
                <w:sz w:val="24"/>
              </w:rPr>
              <w:t>获奖情况</w:t>
            </w:r>
          </w:p>
        </w:tc>
        <w:tc>
          <w:tcPr>
            <w:tcW w:w="7441" w:type="dxa"/>
            <w:gridSpan w:val="5"/>
            <w:tcBorders>
              <w:top w:val="single" w:color="auto" w:sz="4" w:space="0"/>
              <w:left w:val="single" w:color="auto" w:sz="4" w:space="0"/>
              <w:bottom w:val="single" w:color="auto" w:sz="4" w:space="0"/>
              <w:right w:val="single" w:color="auto" w:sz="4" w:space="0"/>
            </w:tcBorders>
          </w:tcPr>
          <w:p>
            <w:pPr>
              <w:snapToGrid w:val="0"/>
              <w:rPr>
                <w:rFonts w:ascii="仿宋_GB2312" w:hAnsi="仿宋_GB2312" w:cs="仿宋_GB2312"/>
                <w:spacing w:val="-14"/>
                <w:sz w:val="24"/>
                <w:szCs w:val="24"/>
              </w:rPr>
            </w:pPr>
            <w:r>
              <w:rPr>
                <w:rFonts w:hint="eastAsia" w:ascii="仿宋_GB2312" w:hAnsi="仿宋_GB2312" w:cs="仿宋_GB2312"/>
                <w:spacing w:val="-14"/>
                <w:sz w:val="24"/>
              </w:rPr>
              <w:t>（近3年所获国家级、省级奖项，提供证书复印件）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cs="仿宋_GB2312"/>
                <w:spacing w:val="-14"/>
                <w:sz w:val="24"/>
                <w:szCs w:val="24"/>
              </w:rPr>
            </w:pPr>
            <w:r>
              <w:rPr>
                <w:rFonts w:hint="eastAsia" w:ascii="仿宋_GB2312" w:hAnsi="仿宋_GB2312" w:cs="仿宋_GB2312"/>
                <w:spacing w:val="-14"/>
                <w:sz w:val="24"/>
                <w:lang w:eastAsia="zh-CN"/>
              </w:rPr>
              <w:t>省辖市、直管县（市）教育行政部门</w:t>
            </w:r>
            <w:r>
              <w:rPr>
                <w:rFonts w:hint="eastAsia" w:ascii="仿宋_GB2312" w:hAnsi="仿宋_GB2312" w:cs="仿宋_GB2312"/>
                <w:spacing w:val="-14"/>
                <w:sz w:val="24"/>
              </w:rPr>
              <w:t>学校申报</w:t>
            </w:r>
          </w:p>
        </w:tc>
        <w:tc>
          <w:tcPr>
            <w:tcW w:w="7441" w:type="dxa"/>
            <w:gridSpan w:val="5"/>
            <w:tcBorders>
              <w:top w:val="single" w:color="auto" w:sz="4" w:space="0"/>
              <w:left w:val="single" w:color="auto" w:sz="4" w:space="0"/>
              <w:bottom w:val="single" w:color="auto" w:sz="4" w:space="0"/>
              <w:right w:val="single" w:color="auto" w:sz="4" w:space="0"/>
            </w:tcBorders>
          </w:tcPr>
          <w:p>
            <w:pPr>
              <w:snapToGrid w:val="0"/>
              <w:rPr>
                <w:rFonts w:ascii="Arial" w:hAnsi="Arial" w:eastAsia="Arial" w:cs="Arial"/>
                <w:color w:val="444444"/>
                <w:sz w:val="21"/>
                <w:szCs w:val="21"/>
                <w:shd w:val="clear" w:color="auto" w:fill="FFFFFF"/>
              </w:rPr>
            </w:pPr>
            <w:r>
              <w:rPr>
                <w:rFonts w:hint="eastAsia" w:ascii="仿宋_GB2312" w:hAnsi="仿宋_GB2312" w:cs="仿宋_GB2312"/>
                <w:sz w:val="24"/>
              </w:rPr>
              <w:t>（要求：根据申报类别，条理清楚，重点突出，字数不超过500字。申报材料另附）</w:t>
            </w:r>
            <w:r>
              <w:rPr>
                <w:rFonts w:ascii="Arial" w:hAnsi="Arial" w:eastAsia="Arial" w:cs="Arial"/>
                <w:color w:val="444444"/>
                <w:szCs w:val="21"/>
                <w:shd w:val="clear" w:color="auto" w:fill="FFFFFF"/>
              </w:rPr>
              <w:br w:type="textWrapping"/>
            </w: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hint="eastAsia" w:ascii="Arial" w:hAnsi="Arial" w:eastAsia="宋体"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hint="eastAsia" w:ascii="Arial" w:hAnsi="Arial" w:eastAsia="宋体" w:cs="Arial"/>
                <w:color w:val="444444"/>
                <w:szCs w:val="21"/>
                <w:shd w:val="clear" w:color="auto" w:fill="FFFFFF"/>
              </w:rPr>
            </w:pPr>
          </w:p>
          <w:p>
            <w:pPr>
              <w:snapToGrid w:val="0"/>
              <w:rPr>
                <w:rFonts w:hint="eastAsia" w:ascii="Arial" w:hAnsi="Arial" w:eastAsia="宋体" w:cs="Arial"/>
                <w:color w:val="444444"/>
                <w:szCs w:val="21"/>
                <w:shd w:val="clear" w:color="auto" w:fill="FFFFFF"/>
              </w:rPr>
            </w:pPr>
          </w:p>
          <w:p>
            <w:pPr>
              <w:snapToGrid w:val="0"/>
              <w:rPr>
                <w:rFonts w:hint="eastAsia" w:ascii="Arial" w:hAnsi="Arial" w:eastAsia="宋体" w:cs="Arial"/>
                <w:color w:val="444444"/>
                <w:szCs w:val="21"/>
                <w:shd w:val="clear" w:color="auto" w:fill="FFFFFF"/>
              </w:rPr>
            </w:pPr>
          </w:p>
          <w:p>
            <w:pPr>
              <w:snapToGrid w:val="0"/>
              <w:rPr>
                <w:rFonts w:hint="eastAsia" w:ascii="Arial" w:hAnsi="Arial" w:eastAsia="宋体"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Cs w:val="21"/>
                <w:shd w:val="clear" w:color="auto" w:fill="FFFFFF"/>
              </w:rPr>
            </w:pPr>
          </w:p>
          <w:p>
            <w:pPr>
              <w:snapToGrid w:val="0"/>
              <w:rPr>
                <w:rFonts w:ascii="Arial" w:hAnsi="Arial" w:eastAsia="Arial" w:cs="Arial"/>
                <w:color w:val="444444"/>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0"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cs="仿宋_GB2312"/>
                <w:sz w:val="24"/>
                <w:szCs w:val="24"/>
              </w:rPr>
            </w:pPr>
            <w:r>
              <w:rPr>
                <w:rFonts w:hint="eastAsia" w:ascii="仿宋_GB2312" w:hAnsi="仿宋_GB2312" w:cs="仿宋_GB2312"/>
                <w:sz w:val="24"/>
              </w:rPr>
              <w:t>学校自评意见</w:t>
            </w:r>
          </w:p>
        </w:tc>
        <w:tc>
          <w:tcPr>
            <w:tcW w:w="7441"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cs="仿宋_GB2312"/>
                <w:sz w:val="24"/>
                <w:szCs w:val="24"/>
              </w:rPr>
            </w:pP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p>
          <w:p>
            <w:pPr>
              <w:snapToGrid w:val="0"/>
              <w:jc w:val="center"/>
              <w:rPr>
                <w:rFonts w:hint="eastAsia" w:ascii="仿宋_GB2312" w:hAnsi="仿宋_GB2312" w:cs="仿宋_GB2312"/>
                <w:sz w:val="24"/>
              </w:rPr>
            </w:pPr>
          </w:p>
          <w:p>
            <w:pPr>
              <w:snapToGrid w:val="0"/>
              <w:jc w:val="center"/>
              <w:rPr>
                <w:rFonts w:hint="eastAsia" w:ascii="仿宋_GB2312" w:hAnsi="仿宋_GB2312" w:cs="仿宋_GB2312"/>
                <w:sz w:val="24"/>
              </w:rPr>
            </w:pPr>
          </w:p>
          <w:p>
            <w:pPr>
              <w:snapToGrid w:val="0"/>
              <w:jc w:val="center"/>
              <w:rPr>
                <w:rFonts w:hint="eastAsia" w:ascii="仿宋_GB2312" w:hAnsi="仿宋_GB2312" w:cs="仿宋_GB2312"/>
                <w:sz w:val="24"/>
              </w:rPr>
            </w:pPr>
          </w:p>
          <w:p>
            <w:pPr>
              <w:snapToGrid w:val="0"/>
              <w:jc w:val="center"/>
              <w:rPr>
                <w:rFonts w:hint="eastAsia" w:ascii="仿宋_GB2312" w:hAnsi="仿宋_GB2312" w:cs="仿宋_GB2312"/>
                <w:sz w:val="24"/>
              </w:rPr>
            </w:pPr>
            <w:r>
              <w:rPr>
                <w:rFonts w:hint="eastAsia" w:ascii="仿宋_GB2312" w:hAnsi="仿宋_GB2312" w:cs="仿宋_GB2312"/>
                <w:sz w:val="24"/>
              </w:rPr>
              <w:t xml:space="preserve">                                  公章：</w:t>
            </w:r>
          </w:p>
          <w:p>
            <w:pPr>
              <w:snapToGrid w:val="0"/>
              <w:jc w:val="center"/>
              <w:rPr>
                <w:rFonts w:hint="eastAsia" w:ascii="仿宋_GB2312" w:hAnsi="仿宋_GB2312" w:cs="仿宋_GB2312"/>
                <w:sz w:val="24"/>
              </w:rPr>
            </w:pPr>
            <w:r>
              <w:rPr>
                <w:rFonts w:hint="eastAsia" w:ascii="仿宋_GB2312" w:hAnsi="仿宋_GB2312" w:cs="仿宋_GB2312"/>
                <w:sz w:val="24"/>
              </w:rPr>
              <w:t xml:space="preserve">                            负责人签字：</w:t>
            </w:r>
          </w:p>
          <w:p>
            <w:pPr>
              <w:snapToGrid w:val="0"/>
              <w:jc w:val="center"/>
              <w:rPr>
                <w:rFonts w:ascii="仿宋_GB2312" w:hAnsi="仿宋_GB2312" w:cs="仿宋_GB2312"/>
                <w:sz w:val="24"/>
                <w:szCs w:val="24"/>
              </w:rPr>
            </w:pPr>
            <w:r>
              <w:rPr>
                <w:rFonts w:hint="eastAsia" w:ascii="仿宋_GB2312" w:hAns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jc w:val="center"/>
        </w:trPr>
        <w:tc>
          <w:tcPr>
            <w:tcW w:w="188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cs="仿宋_GB2312"/>
                <w:sz w:val="24"/>
                <w:szCs w:val="24"/>
              </w:rPr>
            </w:pPr>
            <w:r>
              <w:rPr>
                <w:rFonts w:hint="eastAsia" w:ascii="仿宋_GB2312" w:hAnsi="仿宋_GB2312" w:cs="仿宋_GB2312"/>
                <w:sz w:val="24"/>
              </w:rPr>
              <w:t>市级核查意见</w:t>
            </w:r>
          </w:p>
        </w:tc>
        <w:tc>
          <w:tcPr>
            <w:tcW w:w="7441" w:type="dxa"/>
            <w:gridSpan w:val="5"/>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cs="仿宋_GB2312"/>
                <w:sz w:val="24"/>
                <w:szCs w:val="24"/>
              </w:rPr>
            </w:pP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r>
              <w:rPr>
                <w:rFonts w:hint="eastAsia" w:ascii="仿宋_GB2312" w:hAnsi="仿宋_GB2312" w:cs="仿宋_GB2312"/>
                <w:sz w:val="24"/>
              </w:rPr>
              <w:t xml:space="preserve">                                  </w:t>
            </w:r>
          </w:p>
          <w:p>
            <w:pPr>
              <w:snapToGrid w:val="0"/>
              <w:jc w:val="center"/>
              <w:rPr>
                <w:rFonts w:hint="eastAsia" w:ascii="仿宋_GB2312" w:hAnsi="仿宋_GB2312" w:cs="仿宋_GB2312"/>
                <w:sz w:val="24"/>
              </w:rPr>
            </w:pPr>
          </w:p>
          <w:p>
            <w:pPr>
              <w:snapToGrid w:val="0"/>
              <w:jc w:val="center"/>
              <w:rPr>
                <w:rFonts w:hint="eastAsia" w:ascii="仿宋_GB2312" w:hAnsi="仿宋_GB2312" w:cs="仿宋_GB2312"/>
                <w:sz w:val="24"/>
              </w:rPr>
            </w:pPr>
          </w:p>
          <w:p>
            <w:pPr>
              <w:snapToGrid w:val="0"/>
              <w:jc w:val="center"/>
              <w:rPr>
                <w:rFonts w:hint="eastAsia" w:ascii="仿宋_GB2312" w:hAnsi="仿宋_GB2312" w:cs="仿宋_GB2312"/>
                <w:sz w:val="24"/>
              </w:rPr>
            </w:pPr>
            <w:r>
              <w:rPr>
                <w:rFonts w:hint="eastAsia" w:ascii="仿宋_GB2312" w:hAnsi="仿宋_GB2312" w:cs="仿宋_GB2312"/>
                <w:sz w:val="24"/>
              </w:rPr>
              <w:t xml:space="preserve">                                  公章：</w:t>
            </w:r>
          </w:p>
          <w:p>
            <w:pPr>
              <w:snapToGrid w:val="0"/>
              <w:jc w:val="center"/>
              <w:rPr>
                <w:rFonts w:hint="eastAsia" w:ascii="仿宋_GB2312" w:hAnsi="仿宋_GB2312" w:cs="仿宋_GB2312"/>
                <w:sz w:val="24"/>
              </w:rPr>
            </w:pPr>
            <w:r>
              <w:rPr>
                <w:rFonts w:hint="eastAsia" w:ascii="仿宋_GB2312" w:hAnsi="仿宋_GB2312" w:cs="仿宋_GB2312"/>
                <w:sz w:val="24"/>
              </w:rPr>
              <w:t xml:space="preserve">                            负责人签字：</w:t>
            </w:r>
          </w:p>
          <w:p>
            <w:pPr>
              <w:snapToGrid w:val="0"/>
              <w:jc w:val="left"/>
              <w:rPr>
                <w:rFonts w:ascii="仿宋_GB2312" w:hAnsi="仿宋_GB2312" w:cs="仿宋_GB2312"/>
                <w:sz w:val="24"/>
                <w:szCs w:val="24"/>
              </w:rPr>
            </w:pPr>
            <w:r>
              <w:rPr>
                <w:rFonts w:hint="eastAsia" w:ascii="仿宋_GB2312" w:hAnsi="仿宋_GB2312" w:cs="仿宋_GB2312"/>
                <w:sz w:val="24"/>
              </w:rPr>
              <w:t xml:space="preserve">                                                年 月 日</w:t>
            </w:r>
          </w:p>
        </w:tc>
      </w:tr>
    </w:tbl>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sectPr>
          <w:pgSz w:w="11906" w:h="16838"/>
          <w:pgMar w:top="1928" w:right="1587" w:bottom="1984" w:left="1644" w:header="0" w:footer="1587" w:gutter="0"/>
          <w:pgNumType w:fmt="numberInDash"/>
          <w:cols w:space="720" w:num="1"/>
          <w:rtlGutter w:val="0"/>
          <w:docGrid w:type="linesAndChars" w:linePitch="620" w:charSpace="2546"/>
        </w:sect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snapToGrid w:val="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河南省义务教育标准化管理示范校、特色校</w:t>
      </w:r>
      <w:r>
        <w:rPr>
          <w:rFonts w:hint="eastAsia" w:ascii="方正小标宋简体" w:hAnsi="方正小标宋简体" w:eastAsia="方正小标宋简体" w:cs="方正小标宋简体"/>
          <w:color w:val="000000"/>
          <w:spacing w:val="-20"/>
          <w:sz w:val="44"/>
          <w:szCs w:val="44"/>
        </w:rPr>
        <w:t>推荐汇总表</w:t>
      </w:r>
    </w:p>
    <w:p>
      <w:pPr>
        <w:snapToGrid w:val="0"/>
        <w:jc w:val="left"/>
        <w:rPr>
          <w:rFonts w:hint="eastAsia" w:ascii="楷体_GB2312" w:hAnsi="黑体" w:eastAsia="楷体_GB2312"/>
          <w:bCs/>
          <w:kern w:val="0"/>
          <w:sz w:val="15"/>
          <w:szCs w:val="15"/>
        </w:rPr>
      </w:pPr>
    </w:p>
    <w:p>
      <w:pPr>
        <w:jc w:val="left"/>
        <w:rPr>
          <w:rFonts w:hint="eastAsia" w:ascii="楷体_GB2312" w:hAnsi="黑体" w:eastAsia="楷体_GB2312"/>
          <w:bCs/>
          <w:kern w:val="0"/>
          <w:sz w:val="28"/>
          <w:szCs w:val="24"/>
        </w:rPr>
      </w:pPr>
      <w:r>
        <w:rPr>
          <w:rFonts w:hint="eastAsia" w:ascii="楷体_GB2312" w:hAnsi="黑体" w:eastAsia="楷体_GB2312"/>
          <w:bCs/>
          <w:kern w:val="0"/>
          <w:sz w:val="28"/>
          <w:lang w:eastAsia="zh-CN"/>
        </w:rPr>
        <w:t>单位</w:t>
      </w:r>
      <w:r>
        <w:rPr>
          <w:rFonts w:hint="eastAsia" w:ascii="楷体_GB2312" w:hAnsi="黑体" w:eastAsia="楷体_GB2312"/>
          <w:bCs/>
          <w:kern w:val="0"/>
          <w:sz w:val="28"/>
        </w:rPr>
        <w:t xml:space="preserve">：         （盖章）                          </w:t>
      </w:r>
      <w:r>
        <w:rPr>
          <w:rFonts w:hint="eastAsia" w:ascii="楷体_GB2312" w:hAnsi="黑体" w:eastAsia="楷体_GB2312"/>
          <w:bCs/>
          <w:kern w:val="0"/>
          <w:sz w:val="28"/>
          <w:lang w:val="en-US" w:eastAsia="zh-CN"/>
        </w:rPr>
        <w:t xml:space="preserve">                        </w:t>
      </w:r>
      <w:r>
        <w:rPr>
          <w:rFonts w:hint="eastAsia" w:ascii="楷体_GB2312" w:hAnsi="黑体" w:eastAsia="楷体_GB2312"/>
          <w:bCs/>
          <w:kern w:val="0"/>
          <w:sz w:val="28"/>
        </w:rPr>
        <w:t xml:space="preserve"> 年    月    日</w:t>
      </w:r>
    </w:p>
    <w:tbl>
      <w:tblPr>
        <w:tblStyle w:val="5"/>
        <w:tblW w:w="14076" w:type="dxa"/>
        <w:jc w:val="center"/>
        <w:tblLayout w:type="fixed"/>
        <w:tblCellMar>
          <w:top w:w="0" w:type="dxa"/>
          <w:left w:w="108" w:type="dxa"/>
          <w:bottom w:w="0" w:type="dxa"/>
          <w:right w:w="108" w:type="dxa"/>
        </w:tblCellMar>
      </w:tblPr>
      <w:tblGrid>
        <w:gridCol w:w="1111"/>
        <w:gridCol w:w="2452"/>
        <w:gridCol w:w="1726"/>
        <w:gridCol w:w="2938"/>
        <w:gridCol w:w="1601"/>
        <w:gridCol w:w="1420"/>
        <w:gridCol w:w="1644"/>
        <w:gridCol w:w="1184"/>
      </w:tblGrid>
      <w:tr>
        <w:tblPrEx>
          <w:tblCellMar>
            <w:top w:w="0" w:type="dxa"/>
            <w:left w:w="108" w:type="dxa"/>
            <w:bottom w:w="0" w:type="dxa"/>
            <w:right w:w="108" w:type="dxa"/>
          </w:tblCellMar>
        </w:tblPrEx>
        <w:trPr>
          <w:trHeight w:val="736"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kern w:val="0"/>
                <w:sz w:val="24"/>
              </w:rPr>
              <w:t>序号</w:t>
            </w:r>
          </w:p>
        </w:tc>
        <w:tc>
          <w:tcPr>
            <w:tcW w:w="2452"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kern w:val="0"/>
                <w:sz w:val="24"/>
              </w:rPr>
              <w:t>学校名称</w:t>
            </w:r>
          </w:p>
        </w:tc>
        <w:tc>
          <w:tcPr>
            <w:tcW w:w="1726"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kern w:val="0"/>
                <w:sz w:val="24"/>
              </w:rPr>
              <w:t>申报类别（示范校/特色校）</w:t>
            </w:r>
          </w:p>
        </w:tc>
        <w:tc>
          <w:tcPr>
            <w:tcW w:w="2938"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黑体" w:hAnsi="黑体" w:eastAsia="黑体" w:cs="黑体"/>
                <w:sz w:val="24"/>
              </w:rPr>
            </w:pPr>
            <w:r>
              <w:rPr>
                <w:rFonts w:hint="eastAsia" w:ascii="黑体" w:hAnsi="黑体" w:eastAsia="黑体" w:cs="黑体"/>
                <w:kern w:val="0"/>
                <w:sz w:val="24"/>
              </w:rPr>
              <w:t>学校类型</w:t>
            </w:r>
            <w:r>
              <w:rPr>
                <w:rFonts w:hint="eastAsia" w:ascii="黑体" w:hAnsi="黑体" w:eastAsia="黑体" w:cs="黑体"/>
                <w:sz w:val="24"/>
              </w:rPr>
              <w:t>（小学、初中、完全中学初中部、九年</w:t>
            </w:r>
          </w:p>
          <w:p>
            <w:pPr>
              <w:widowControl/>
              <w:snapToGrid w:val="0"/>
              <w:jc w:val="center"/>
              <w:rPr>
                <w:rFonts w:ascii="黑体" w:hAnsi="黑体" w:eastAsia="黑体" w:cs="黑体"/>
                <w:kern w:val="0"/>
                <w:sz w:val="24"/>
                <w:szCs w:val="24"/>
              </w:rPr>
            </w:pPr>
            <w:r>
              <w:rPr>
                <w:rFonts w:hint="eastAsia" w:ascii="黑体" w:hAnsi="黑体" w:eastAsia="黑体" w:cs="黑体"/>
                <w:sz w:val="24"/>
              </w:rPr>
              <w:t>一贯制学校）</w:t>
            </w:r>
          </w:p>
        </w:tc>
        <w:tc>
          <w:tcPr>
            <w:tcW w:w="1601"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kern w:val="0"/>
                <w:sz w:val="24"/>
              </w:rPr>
              <w:t>通讯地址</w:t>
            </w:r>
          </w:p>
        </w:tc>
        <w:tc>
          <w:tcPr>
            <w:tcW w:w="1420"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bCs/>
                <w:kern w:val="0"/>
                <w:sz w:val="24"/>
              </w:rPr>
              <w:t>负责人姓名</w:t>
            </w:r>
          </w:p>
        </w:tc>
        <w:tc>
          <w:tcPr>
            <w:tcW w:w="1644"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bCs/>
                <w:kern w:val="0"/>
                <w:sz w:val="24"/>
              </w:rPr>
              <w:t>联系电话</w:t>
            </w:r>
          </w:p>
        </w:tc>
        <w:tc>
          <w:tcPr>
            <w:tcW w:w="1184" w:type="dxa"/>
            <w:tcBorders>
              <w:top w:val="single" w:color="auto" w:sz="4" w:space="0"/>
              <w:left w:val="nil"/>
              <w:bottom w:val="single" w:color="auto" w:sz="4" w:space="0"/>
              <w:right w:val="single" w:color="auto" w:sz="4" w:space="0"/>
            </w:tcBorders>
            <w:vAlign w:val="center"/>
          </w:tcPr>
          <w:p>
            <w:pPr>
              <w:widowControl/>
              <w:snapToGrid w:val="0"/>
              <w:jc w:val="center"/>
              <w:rPr>
                <w:rFonts w:ascii="黑体" w:hAnsi="黑体" w:eastAsia="黑体" w:cs="黑体"/>
                <w:sz w:val="24"/>
                <w:szCs w:val="24"/>
              </w:rPr>
            </w:pPr>
            <w:r>
              <w:rPr>
                <w:rFonts w:hint="eastAsia" w:ascii="黑体" w:hAnsi="黑体" w:eastAsia="黑体" w:cs="黑体"/>
                <w:sz w:val="24"/>
              </w:rPr>
              <w:t>备注</w:t>
            </w:r>
          </w:p>
        </w:tc>
      </w:tr>
      <w:tr>
        <w:tblPrEx>
          <w:tblCellMar>
            <w:top w:w="0" w:type="dxa"/>
            <w:left w:w="108" w:type="dxa"/>
            <w:bottom w:w="0" w:type="dxa"/>
            <w:right w:w="108" w:type="dxa"/>
          </w:tblCellMar>
        </w:tblPrEx>
        <w:trPr>
          <w:trHeight w:val="502"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kern w:val="0"/>
                <w:sz w:val="24"/>
                <w:szCs w:val="24"/>
              </w:rPr>
            </w:pPr>
            <w:r>
              <w:rPr>
                <w:rFonts w:hint="eastAsia" w:ascii="黑体" w:hAnsi="黑体" w:eastAsia="黑体" w:cs="宋体"/>
                <w:kern w:val="0"/>
                <w:sz w:val="24"/>
              </w:rPr>
              <w:t>1</w:t>
            </w:r>
          </w:p>
        </w:tc>
        <w:tc>
          <w:tcPr>
            <w:tcW w:w="2452"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nil"/>
              <w:left w:val="nil"/>
              <w:bottom w:val="single" w:color="auto" w:sz="4" w:space="0"/>
              <w:right w:val="single" w:color="auto" w:sz="4" w:space="0"/>
            </w:tcBorders>
            <w:vAlign w:val="center"/>
          </w:tcPr>
          <w:p>
            <w:pPr>
              <w:widowControl/>
              <w:snapToGrid w:val="0"/>
              <w:jc w:val="center"/>
              <w:rPr>
                <w:sz w:val="21"/>
                <w:szCs w:val="24"/>
              </w:rPr>
            </w:pPr>
          </w:p>
        </w:tc>
      </w:tr>
      <w:tr>
        <w:tblPrEx>
          <w:tblCellMar>
            <w:top w:w="0" w:type="dxa"/>
            <w:left w:w="108" w:type="dxa"/>
            <w:bottom w:w="0" w:type="dxa"/>
            <w:right w:w="108" w:type="dxa"/>
          </w:tblCellMar>
        </w:tblPrEx>
        <w:trPr>
          <w:trHeight w:val="426"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kern w:val="0"/>
                <w:sz w:val="24"/>
                <w:szCs w:val="24"/>
              </w:rPr>
            </w:pPr>
            <w:r>
              <w:rPr>
                <w:rFonts w:hint="eastAsia" w:ascii="黑体" w:hAnsi="黑体" w:eastAsia="黑体" w:cs="宋体"/>
                <w:kern w:val="0"/>
                <w:sz w:val="24"/>
              </w:rPr>
              <w:t>2</w:t>
            </w:r>
          </w:p>
        </w:tc>
        <w:tc>
          <w:tcPr>
            <w:tcW w:w="2452"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nil"/>
              <w:left w:val="nil"/>
              <w:bottom w:val="single" w:color="auto" w:sz="4" w:space="0"/>
              <w:right w:val="single" w:color="auto" w:sz="4" w:space="0"/>
            </w:tcBorders>
            <w:vAlign w:val="center"/>
          </w:tcPr>
          <w:p>
            <w:pPr>
              <w:widowControl/>
              <w:snapToGrid w:val="0"/>
              <w:jc w:val="center"/>
              <w:rPr>
                <w:sz w:val="21"/>
                <w:szCs w:val="24"/>
              </w:rPr>
            </w:pPr>
          </w:p>
        </w:tc>
      </w:tr>
      <w:tr>
        <w:tblPrEx>
          <w:tblCellMar>
            <w:top w:w="0" w:type="dxa"/>
            <w:left w:w="108" w:type="dxa"/>
            <w:bottom w:w="0" w:type="dxa"/>
            <w:right w:w="108" w:type="dxa"/>
          </w:tblCellMar>
        </w:tblPrEx>
        <w:trPr>
          <w:trHeight w:val="426"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kern w:val="0"/>
                <w:sz w:val="24"/>
                <w:szCs w:val="24"/>
              </w:rPr>
            </w:pPr>
            <w:r>
              <w:rPr>
                <w:rFonts w:hint="eastAsia" w:ascii="黑体" w:hAnsi="黑体" w:eastAsia="黑体" w:cs="宋体"/>
                <w:kern w:val="0"/>
                <w:sz w:val="24"/>
              </w:rPr>
              <w:t>3</w:t>
            </w:r>
          </w:p>
        </w:tc>
        <w:tc>
          <w:tcPr>
            <w:tcW w:w="2452"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nil"/>
              <w:left w:val="nil"/>
              <w:bottom w:val="single" w:color="auto" w:sz="4" w:space="0"/>
              <w:right w:val="single" w:color="auto" w:sz="4" w:space="0"/>
            </w:tcBorders>
            <w:vAlign w:val="center"/>
          </w:tcPr>
          <w:p>
            <w:pPr>
              <w:widowControl/>
              <w:snapToGrid w:val="0"/>
              <w:jc w:val="center"/>
              <w:rPr>
                <w:sz w:val="21"/>
                <w:szCs w:val="24"/>
              </w:rPr>
            </w:pPr>
          </w:p>
        </w:tc>
      </w:tr>
      <w:tr>
        <w:tblPrEx>
          <w:tblCellMar>
            <w:top w:w="0" w:type="dxa"/>
            <w:left w:w="108" w:type="dxa"/>
            <w:bottom w:w="0" w:type="dxa"/>
            <w:right w:w="108" w:type="dxa"/>
          </w:tblCellMar>
        </w:tblPrEx>
        <w:trPr>
          <w:trHeight w:val="426"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kern w:val="0"/>
                <w:sz w:val="24"/>
                <w:szCs w:val="24"/>
              </w:rPr>
            </w:pPr>
            <w:r>
              <w:rPr>
                <w:rFonts w:hint="eastAsia" w:ascii="黑体" w:hAnsi="黑体" w:eastAsia="黑体" w:cs="宋体"/>
                <w:kern w:val="0"/>
                <w:sz w:val="24"/>
              </w:rPr>
              <w:t>4</w:t>
            </w:r>
          </w:p>
        </w:tc>
        <w:tc>
          <w:tcPr>
            <w:tcW w:w="2452"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single" w:color="auto" w:sz="4" w:space="0"/>
              <w:left w:val="nil"/>
              <w:bottom w:val="single" w:color="auto" w:sz="4" w:space="0"/>
              <w:right w:val="single" w:color="auto" w:sz="4" w:space="0"/>
            </w:tcBorders>
            <w:vAlign w:val="center"/>
          </w:tcPr>
          <w:p>
            <w:pPr>
              <w:widowControl/>
              <w:snapToGrid w:val="0"/>
              <w:jc w:val="center"/>
              <w:rPr>
                <w:sz w:val="21"/>
                <w:szCs w:val="24"/>
              </w:rPr>
            </w:pPr>
          </w:p>
        </w:tc>
      </w:tr>
      <w:tr>
        <w:tblPrEx>
          <w:tblCellMar>
            <w:top w:w="0" w:type="dxa"/>
            <w:left w:w="108" w:type="dxa"/>
            <w:bottom w:w="0" w:type="dxa"/>
            <w:right w:w="108" w:type="dxa"/>
          </w:tblCellMar>
        </w:tblPrEx>
        <w:trPr>
          <w:trHeight w:val="426"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kern w:val="0"/>
                <w:sz w:val="24"/>
                <w:szCs w:val="24"/>
              </w:rPr>
            </w:pPr>
            <w:r>
              <w:rPr>
                <w:rFonts w:hint="eastAsia" w:ascii="黑体" w:hAnsi="黑体" w:eastAsia="黑体" w:cs="宋体"/>
                <w:kern w:val="0"/>
                <w:sz w:val="24"/>
              </w:rPr>
              <w:t>5</w:t>
            </w:r>
          </w:p>
        </w:tc>
        <w:tc>
          <w:tcPr>
            <w:tcW w:w="2452"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single" w:color="auto" w:sz="4" w:space="0"/>
              <w:left w:val="nil"/>
              <w:bottom w:val="single" w:color="auto" w:sz="4" w:space="0"/>
              <w:right w:val="single" w:color="auto" w:sz="4" w:space="0"/>
            </w:tcBorders>
            <w:vAlign w:val="center"/>
          </w:tcPr>
          <w:p>
            <w:pPr>
              <w:widowControl/>
              <w:snapToGrid w:val="0"/>
              <w:jc w:val="center"/>
              <w:rPr>
                <w:sz w:val="21"/>
                <w:szCs w:val="24"/>
              </w:rPr>
            </w:pPr>
          </w:p>
        </w:tc>
      </w:tr>
      <w:tr>
        <w:tblPrEx>
          <w:tblCellMar>
            <w:top w:w="0" w:type="dxa"/>
            <w:left w:w="108" w:type="dxa"/>
            <w:bottom w:w="0" w:type="dxa"/>
            <w:right w:w="108" w:type="dxa"/>
          </w:tblCellMar>
        </w:tblPrEx>
        <w:trPr>
          <w:trHeight w:val="492"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kern w:val="0"/>
                <w:sz w:val="24"/>
                <w:szCs w:val="24"/>
              </w:rPr>
            </w:pPr>
            <w:r>
              <w:rPr>
                <w:rFonts w:hint="eastAsia" w:ascii="黑体" w:hAnsi="黑体" w:eastAsia="黑体" w:cs="宋体"/>
                <w:kern w:val="0"/>
                <w:sz w:val="24"/>
              </w:rPr>
              <w:t>6</w:t>
            </w:r>
          </w:p>
        </w:tc>
        <w:tc>
          <w:tcPr>
            <w:tcW w:w="24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single" w:color="auto" w:sz="4" w:space="0"/>
              <w:left w:val="single" w:color="auto" w:sz="4" w:space="0"/>
              <w:bottom w:val="single" w:color="auto" w:sz="4" w:space="0"/>
              <w:right w:val="single" w:color="auto" w:sz="4" w:space="0"/>
            </w:tcBorders>
          </w:tcPr>
          <w:p>
            <w:pPr>
              <w:rPr>
                <w:sz w:val="21"/>
                <w:szCs w:val="24"/>
              </w:rPr>
            </w:pPr>
          </w:p>
        </w:tc>
      </w:tr>
      <w:tr>
        <w:tblPrEx>
          <w:tblCellMar>
            <w:top w:w="0" w:type="dxa"/>
            <w:left w:w="108" w:type="dxa"/>
            <w:bottom w:w="0" w:type="dxa"/>
            <w:right w:w="108" w:type="dxa"/>
          </w:tblCellMar>
        </w:tblPrEx>
        <w:trPr>
          <w:trHeight w:val="500" w:hRule="atLeast"/>
          <w:jc w:val="center"/>
        </w:trPr>
        <w:tc>
          <w:tcPr>
            <w:tcW w:w="111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黑体"/>
                <w:kern w:val="0"/>
                <w:sz w:val="24"/>
                <w:szCs w:val="24"/>
              </w:rPr>
            </w:pPr>
            <w:r>
              <w:rPr>
                <w:rFonts w:hint="eastAsia" w:ascii="黑体" w:hAnsi="黑体" w:eastAsia="黑体" w:cs="黑体"/>
                <w:kern w:val="0"/>
                <w:sz w:val="24"/>
              </w:rPr>
              <w:t>……</w:t>
            </w:r>
          </w:p>
        </w:tc>
        <w:tc>
          <w:tcPr>
            <w:tcW w:w="245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72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293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0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6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2"/>
                <w:szCs w:val="24"/>
              </w:rPr>
            </w:pPr>
          </w:p>
        </w:tc>
        <w:tc>
          <w:tcPr>
            <w:tcW w:w="1184" w:type="dxa"/>
            <w:tcBorders>
              <w:top w:val="single" w:color="auto" w:sz="4" w:space="0"/>
              <w:left w:val="single" w:color="auto" w:sz="4" w:space="0"/>
              <w:bottom w:val="single" w:color="auto" w:sz="4" w:space="0"/>
              <w:right w:val="single" w:color="auto" w:sz="4" w:space="0"/>
            </w:tcBorders>
          </w:tcPr>
          <w:p>
            <w:pPr>
              <w:rPr>
                <w:sz w:val="21"/>
                <w:szCs w:val="24"/>
              </w:rPr>
            </w:pPr>
          </w:p>
        </w:tc>
      </w:tr>
    </w:tbl>
    <w:p>
      <w:pPr>
        <w:widowControl/>
        <w:jc w:val="center"/>
        <w:rPr>
          <w:rFonts w:ascii="仿宋_GB2312" w:hAnsi="仿宋_GB2312" w:cs="仿宋_GB2312"/>
        </w:rPr>
        <w:sectPr>
          <w:pgSz w:w="16838" w:h="11906" w:orient="landscape"/>
          <w:pgMar w:top="1644" w:right="1928" w:bottom="1587" w:left="1984" w:header="0" w:footer="1587" w:gutter="0"/>
          <w:pgNumType w:fmt="numberInDash"/>
          <w:cols w:space="720" w:num="1"/>
          <w:rtlGutter w:val="0"/>
          <w:docGrid w:type="linesAndChars" w:linePitch="620" w:charSpace="2546"/>
        </w:sect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pPr>
    </w:p>
    <w:p>
      <w:pPr>
        <w:tabs>
          <w:tab w:val="left" w:pos="792"/>
        </w:tabs>
        <w:bidi w:val="0"/>
        <w:jc w:val="left"/>
        <w:rPr>
          <w:rFonts w:ascii="Calibri" w:hAnsi="Calibri" w:eastAsia="宋体" w:cs="Times New Roman"/>
          <w:kern w:val="2"/>
          <w:sz w:val="21"/>
          <w:szCs w:val="24"/>
          <w:lang w:val="en-US" w:eastAsia="zh-CN" w:bidi="ar-SA"/>
        </w:rPr>
        <w:sectPr>
          <w:footerReference r:id="rId5" w:type="default"/>
          <w:pgSz w:w="11906" w:h="16838"/>
          <w:pgMar w:top="1928" w:right="1587" w:bottom="1984" w:left="1644" w:header="0" w:footer="1587" w:gutter="0"/>
          <w:pgNumType w:fmt="numberInDash"/>
          <w:cols w:space="720" w:num="1"/>
          <w:rtlGutter w:val="0"/>
          <w:docGrid w:type="linesAndChars" w:linePitch="620" w:charSpace="2546"/>
        </w:sectPr>
      </w:pPr>
    </w:p>
    <w:tbl>
      <w:tblPr>
        <w:tblStyle w:val="5"/>
        <w:tblpPr w:leftFromText="180" w:rightFromText="180" w:vertAnchor="text" w:horzAnchor="page" w:tblpX="1515" w:tblpY="12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60" w:type="dxa"/>
            <w:tcBorders>
              <w:left w:val="nil"/>
              <w:right w:val="nil"/>
            </w:tcBorders>
            <w:noWrap w:val="0"/>
            <w:vAlign w:val="top"/>
          </w:tcPr>
          <w:p>
            <w:pPr>
              <w:tabs>
                <w:tab w:val="left" w:pos="210"/>
              </w:tabs>
              <w:adjustRightInd w:val="0"/>
              <w:snapToGrid w:val="0"/>
              <w:spacing w:line="580" w:lineRule="atLeast"/>
              <w:ind w:firstLine="146"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局办公室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tc>
      </w:tr>
    </w:tbl>
    <w:p>
      <w:pPr>
        <w:tabs>
          <w:tab w:val="left" w:pos="792"/>
        </w:tabs>
        <w:bidi w:val="0"/>
        <w:jc w:val="left"/>
        <w:rPr>
          <w:rFonts w:ascii="Calibri" w:hAnsi="Calibri" w:eastAsia="宋体" w:cs="Times New Roman"/>
          <w:kern w:val="2"/>
          <w:sz w:val="21"/>
          <w:szCs w:val="24"/>
          <w:lang w:val="en-US" w:eastAsia="zh-CN" w:bidi="ar-SA"/>
        </w:rPr>
      </w:pPr>
    </w:p>
    <w:sectPr>
      <w:footerReference r:id="rId6" w:type="default"/>
      <w:pgSz w:w="11906" w:h="16838"/>
      <w:pgMar w:top="1928" w:right="1587" w:bottom="1984" w:left="1644" w:header="0" w:footer="1587" w:gutter="0"/>
      <w:pgNumType w:fmt="numberInDash"/>
      <w:cols w:space="720" w:num="1"/>
      <w:rtlGutter w:val="0"/>
      <w:docGrid w:type="linesAndChars" w:linePitch="620" w:charSpace="2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Fonts w:hint="eastAsia" w:ascii="仿宋_GB2312"/>
        <w:sz w:val="30"/>
        <w:szCs w:val="30"/>
      </w:rPr>
    </w:pPr>
    <w:r>
      <w:rPr>
        <w:sz w:val="30"/>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Fonts w:hint="eastAsia" w:ascii="仿宋_GB2312"/>
        <w:sz w:val="30"/>
        <w:szCs w:val="30"/>
      </w:rPr>
    </w:pP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Fonts w:hint="eastAsia" w:ascii="仿宋_GB2312"/>
        <w:sz w:val="30"/>
        <w:szCs w:val="30"/>
      </w:rPr>
    </w:pP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44842"/>
    <w:rsid w:val="14EF196E"/>
    <w:rsid w:val="7EEF9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9323</Words>
  <Characters>9638</Characters>
  <Paragraphs>416</Paragraphs>
  <TotalTime>1</TotalTime>
  <ScaleCrop>false</ScaleCrop>
  <LinksUpToDate>false</LinksUpToDate>
  <CharactersWithSpaces>13262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2021-03-19T15:00:00Z</dcterms:created>
  <dc:creator>Administrator</dc:creator>
  <cp:lastModifiedBy>greatwall</cp:lastModifiedBy>
  <cp:lastPrinted>2021-03-22T14:52:00Z</cp:lastPrinted>
  <dcterms:modified xsi:type="dcterms:W3CDTF">2021-03-22T15:10:38Z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SaveFontToCloudKey">
    <vt:lpwstr>0_btnclosed</vt:lpwstr>
  </property>
  <property fmtid="{D5CDD505-2E9C-101B-9397-08002B2CF9AE}" pid="4" name="ICV">
    <vt:lpwstr>2008C97375D6407EBFD81AD03769DA23</vt:lpwstr>
  </property>
</Properties>
</file>