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教育部办公厅关于开展2021年全国青少年校园足球特色学校、试点县（区）、“满天星”训练营和改革试验区申报工作的通知</w:t>
      </w:r>
    </w:p>
    <w:p>
      <w:pPr>
        <w:adjustRightInd w:val="0"/>
        <w:snapToGrid w:val="0"/>
        <w:jc w:val="left"/>
        <w:rPr>
          <w:rFonts w:ascii="仿宋" w:hAnsi="仿宋" w:eastAsia="仿宋"/>
          <w:sz w:val="32"/>
          <w:szCs w:val="32"/>
        </w:r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全面贯彻全国教育大会精神，深入落实《中国足球改革发展总体方案》（国办发〔2015〕11号）、《教育部等6部门关于加快发展青少年校园足球的实施意见》（教体艺〔2015〕6号）、《全国青少年校园足球八大体系建设行动计划》（教体艺〔2020〕5号）文件精神，现就2021年全国青少年校园足球特色学校、试点县（区）、“满天星”训练营和改革试验区申报工作有关事项通知如下。</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一、申报条件</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（一）特色学校和试点县（区）。</w:t>
      </w:r>
      <w:r>
        <w:rPr>
          <w:rFonts w:hint="eastAsia" w:ascii="仿宋_GB2312" w:hAnsi="仿宋_GB2312" w:eastAsia="仿宋_GB2312" w:cs="仿宋_GB2312"/>
          <w:sz w:val="32"/>
          <w:szCs w:val="32"/>
        </w:rPr>
        <w:t>各省级教育行政部门按照《教育部办公厅关于做好全国青少年校园足球特色学校、试点县（区）创建（2018—2025）和2018年“满天星”训练营遴选工作的通知》（教体艺厅函〔2018〕17号）确定的特色学校和试点县（区）创建指标，合理统筹发展规划数量。凡符合《全国校园足球特色学校基本标准（试行）》，按照《全国青少年校园足球特色学校创建指标体系》（附件1）得分70分以上的全日制普通中小学均可申报特色学校。凡符合《全国青少年校园足球试点县（区）基本要求（试行）》的县（区）均可申报试点县（区）。</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（二）“满天星”训练营。</w:t>
      </w:r>
      <w:r>
        <w:rPr>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满天星”训练营由各省级教育行政部门在本行政区域校园足球改革试验区、试点县（区）范围内推荐1个具备条件的教育行政部门作为候选单位。推荐候选单位须符合《全国青少年校园足球“满天星”训练营基本要求（试行）》。</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（三）改革试验区。</w:t>
      </w:r>
      <w:r>
        <w:rPr>
          <w:rFonts w:hint="eastAsia" w:ascii="仿宋_GB2312" w:hAnsi="仿宋_GB2312" w:eastAsia="仿宋_GB2312" w:cs="仿宋_GB2312"/>
          <w:sz w:val="32"/>
          <w:szCs w:val="32"/>
        </w:rPr>
        <w:t>改革试验区应由省级人民政府办公厅或地级市人民政府正式行文</w:t>
      </w:r>
      <w:r>
        <w:rPr>
          <w:rFonts w:hint="eastAsia" w:ascii="仿宋_GB2312" w:hAnsi="仿宋_GB2312" w:eastAsia="仿宋_GB2312" w:cs="仿宋_GB2312"/>
          <w:sz w:val="32"/>
          <w:szCs w:val="32"/>
        </w:rPr>
        <w:t>进行申报，</w:t>
      </w:r>
      <w:r>
        <w:rPr>
          <w:rFonts w:hint="eastAsia" w:ascii="仿宋_GB2312" w:hAnsi="仿宋_GB2312" w:eastAsia="仿宋_GB2312" w:cs="仿宋_GB2312"/>
          <w:b w:val="0"/>
          <w:bCs/>
          <w:sz w:val="32"/>
          <w:szCs w:val="32"/>
        </w:rPr>
        <w:t>每个</w:t>
      </w:r>
      <w:r>
        <w:rPr>
          <w:rFonts w:hint="eastAsia" w:ascii="仿宋_GB2312" w:hAnsi="仿宋_GB2312" w:eastAsia="仿宋_GB2312" w:cs="仿宋_GB2312"/>
          <w:sz w:val="32"/>
          <w:szCs w:val="32"/>
        </w:rPr>
        <w:t>省份限报1个。对照《全国青少年校园足球改革试验区基本要求（试行）》，应具备以下条件：一是当地党委和政府高度重视青少年校园足球工作，将青少年校园足球纳入地方经济社会发展规划和年度工作计划并有效组织实施。根据当地经济社会发展情况和足球运动基础，编制好改革试验方案，方案应包括试验背景、试验思路、试验内容、预期效果、保障措施、进度安排等内容，明确改革试验任务和各试验项目的实施周期和进度安排。二是着力扩大青少年校园足球覆盖面，鼓励支持各年龄段学生广泛参与青少年校园足球运动，行政区域内有全国青少年校园足球试点县（区）。三是着力完善校园足球教学、训练和竞赛体系建设，畅通优秀足球人才成长通道，积极构建校园足球科研、荣誉、资助、舆论宣传引导体系。</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二、创建原则</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（一）统筹兼顾，合理匹配。</w:t>
      </w:r>
      <w:r>
        <w:rPr>
          <w:rFonts w:hint="eastAsia" w:ascii="仿宋_GB2312" w:hAnsi="仿宋_GB2312" w:eastAsia="仿宋_GB2312" w:cs="仿宋_GB2312"/>
          <w:sz w:val="32"/>
          <w:szCs w:val="32"/>
        </w:rPr>
        <w:t>特色学校申报要统筹城乡、区域和学校类型，按高中、初中和小学1∶3∶6的基本比例合理匹配，适当向寄宿制学校和九年一贯制学校倾斜，充分考虑单校划片、多校划片现状，要有利于区域联赛开展和校园足球的普及。</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（二）立足长远，因地制宜。</w:t>
      </w:r>
      <w:r>
        <w:rPr>
          <w:rFonts w:hint="eastAsia" w:ascii="仿宋_GB2312" w:hAnsi="仿宋_GB2312" w:eastAsia="仿宋_GB2312" w:cs="仿宋_GB2312"/>
          <w:sz w:val="32"/>
          <w:szCs w:val="32"/>
        </w:rPr>
        <w:t>申报项目要着眼于中长期发展，从实际出发、量力而行、注重引导、多元化发展，鼓励更多学校、部门充分考虑地区发展的基础条件，因地制宜开展校园足球工作，努力提高校园足球发展质量。</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（三）做好存量，发展增量。</w:t>
      </w:r>
      <w:r>
        <w:rPr>
          <w:rFonts w:hint="eastAsia" w:ascii="仿宋_GB2312" w:hAnsi="仿宋_GB2312" w:eastAsia="仿宋_GB2312" w:cs="仿宋_GB2312"/>
          <w:sz w:val="32"/>
          <w:szCs w:val="32"/>
        </w:rPr>
        <w:t>各级教育部门要对区域内已有存量足球特色学校、试点县（区）、改革试验区和“满天星”训练营进行评估，不断加大建设和投入力度，要侧重于校园足球师资、场地、经费、政策扶持和人才培养通道建设等关键环节，不断鼓励有条件的学校、地区积极进行申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（四）提高认识，精心组织。</w:t>
      </w:r>
      <w:r>
        <w:rPr>
          <w:rFonts w:hint="eastAsia" w:ascii="仿宋_GB2312" w:hAnsi="仿宋_GB2312" w:eastAsia="仿宋_GB2312" w:cs="仿宋_GB2312"/>
          <w:sz w:val="32"/>
          <w:szCs w:val="32"/>
        </w:rPr>
        <w:t>各地区要积极推动申报工作，高度重视、突出重点、认真谋划、先行先试，为全面深化青少年校园足球改革发展积累经验、探索路子。改革试验区申报地要结合当地实际，统筹谋划相关工作，认真编写改革试验方案。各省级教育行政部门要会同省级有关部门指导申报地区编制好改革试验方案。</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sz w:val="32"/>
          <w:szCs w:val="32"/>
        </w:rPr>
        <w:t>（五）严格审核，加强监督。</w:t>
      </w:r>
      <w:r>
        <w:rPr>
          <w:rFonts w:hint="eastAsia" w:ascii="仿宋_GB2312" w:hAnsi="仿宋_GB2312" w:eastAsia="仿宋_GB2312" w:cs="仿宋_GB2312"/>
          <w:sz w:val="32"/>
          <w:szCs w:val="32"/>
        </w:rPr>
        <w:t>各申报单位要严格按照本通知和相关要求，实事求是撰写申报报告，对申报材料弄虚作假的单位，实施“一票否决”并进行通报。各地要认真审核申报相关材料，全面评估，综合考虑申报地区的典型性和代表性，把握好工作进度和时间节点。教育部及各地教育行政部门将不定期组织相关专家，调研和督查各申报单位，保证各项工作落实。申报支撑材料要真实可靠，备案可查。</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三、申报程序</w:t>
      </w:r>
    </w:p>
    <w:p>
      <w:pPr>
        <w:adjustRightInd w:val="0"/>
        <w:snapToGrid w:val="0"/>
        <w:spacing w:line="360" w:lineRule="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（一）特色学校、试点县（区）和“满天星”训练营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申报工作由自主申报、省级教育行政部门审核推荐、教育部综合认定三个阶段组成。</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1.自主申报。凡达到基本条件的学校、县（区），登录“全国青少年校园足球网站（https://xyzq.moe.gov.cn）”进行申报，经上一级教育主管部门同意后，报省级教育行政部门审核。</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省级教育行政部门审核推荐。省级教育行政部门应组织专家对本地申报足球特色学校、试点县（区）和“满天星”训练营的申报材料进行审核。要在向社会公示的基础上，将达到标准要求的特色学校、试点县（区）和“满天星”训练营确定为本年度的创建单位，向教育部进行推荐，做到成熟一批，推出一批。</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3.综合认定。教育部在各省级教育行政部门审核推荐的基础上，组织专家进行复核，并结合相关工作进行实地抽查，面向社会公示后，最终认定特色学校、试点县（区）和“满天星”训练营名单。</w:t>
      </w:r>
    </w:p>
    <w:p>
      <w:pPr>
        <w:adjustRightInd w:val="0"/>
        <w:snapToGrid w:val="0"/>
        <w:spacing w:line="360" w:lineRule="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（二）改革试验区</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由省级人民政府办公厅向全国青少年校园足球工作领导小组办公室（以下简称全国校足办）提出申请，须附有改革试验方案；由地市级人民政府向全国校足办正式行文申请，须附有省级教育行政部门推荐文件和改革试验方案。</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全国校足办组织专家对申报材料进行评审，对申报地区进行实地调研和考察，由专家组提出遴选建议名单，报全国青少年校园足球工作领导小组审批，面向社会公示后，由教育部办公厅代全国青少年校园足球工作领导小组行文批复成立改革试验区，正式启动改革试验区工作。</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四、政策支持</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（一）教育部对经综合认定的相关单位分别命名为“全国青少年校园足球特色学校”“全国青少年校园足球试点县（区）”“全国青少年校园足球‘满天星’训练营”和“全国青少年校园足球改革试验区”。</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特色学校、试点县（区）、“满天星”训练营和改革试验区享有本地有关部门给予的有关校园足球教学、训练、竞赛、招生、经费和条件保障等方面的政策支持。全国性的校园足球教学、训练、竞赛等相关工作将优先面向特色学校、试点县（区）、“满天星”训练营和改革试验区开展。</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全国青少年校园足球工作领导小组办公室将连续三年为“满天星”训练营提供专项建设经费支持，主要用于聘请高水平国内外教练，组织开展教学、训练、比赛和选拔性竞赛等。鼓励有条件的地区参照全国青少年校园足球“满天星”训练营的组织模式，筹建并形成省级、地市级、县区级、学区级等四级训练营建设体系。</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五、材料报送要求</w:t>
      </w:r>
    </w:p>
    <w:p>
      <w:pPr>
        <w:adjustRightInd w:val="0"/>
        <w:snapToGrid w:val="0"/>
        <w:spacing w:line="360" w:lineRule="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（一）特色学校、试点县（区）和“满天星”训练营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级教育行政部门将特色学校、试点县（区）和“满天星”训练营申报汇总表（附件3、附件4）电子版和纸质扫描版（盖章），试点县（区）、“满天星”训练营申报材料，按“省份+特色学校、试点县（区）和‘满天星’训练营申报材料”方式命名，报送至全国校足办指定邮箱。</w:t>
      </w:r>
    </w:p>
    <w:p>
      <w:pPr>
        <w:adjustRightInd w:val="0"/>
        <w:snapToGrid w:val="0"/>
        <w:spacing w:line="360" w:lineRule="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（二）改革试验区</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省级人民政府办公厅报送材料时，须提交正式申请1份、改革试验方案10份（并附光盘或U盘）。地市级人民政府报送材料时，须提交正式申请和省级教育行政部门推荐文件各1份、改革试验方案10份（并附光盘或U盘）。申报材料需加盖单位公章，通过快递或邮寄方式将原件报送教育部。</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材料报送截止时间：2021年9月30日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申报系统咨询：010–66090906</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全国校足办联系人及电话：余文禄（010–66097426）</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电子邮箱：xiaozuban@moe.edu.cn</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通讯地址：北京市西城区大木仓胡同35号教育部体育卫生与艺术教育司，邮政编码：100816。</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1.全国青少年校园足球特色学校创建指标体系</w:t>
      </w:r>
    </w:p>
    <w:p>
      <w:pPr>
        <w:adjustRightInd w:val="0"/>
        <w:snapToGrid w:val="0"/>
        <w:spacing w:line="360" w:lineRule="auto"/>
        <w:ind w:left="2560" w:hanging="2560" w:hanging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2.全国青少年校园足球特色学校和试点县（区）申报系统说明</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3.全国青少年校园足球特色学校申报汇总表</w:t>
      </w:r>
    </w:p>
    <w:p>
      <w:pPr>
        <w:adjustRightInd w:val="0"/>
        <w:snapToGrid w:val="0"/>
        <w:spacing w:line="360" w:lineRule="auto"/>
        <w:ind w:left="2560" w:hanging="2560" w:hanging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4.全国青少年校园足球试点县（区）和“满天星”训练营申报汇总表</w:t>
      </w: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spacing w:line="540" w:lineRule="exact"/>
        <w:rPr>
          <w:rFonts w:ascii="黑体" w:hAnsi="宋体" w:eastAsia="黑体"/>
          <w:bCs/>
          <w:sz w:val="32"/>
          <w:szCs w:val="32"/>
        </w:rPr>
      </w:pPr>
      <w:bookmarkStart w:id="0" w:name="_GoBack"/>
      <w:bookmarkEnd w:id="0"/>
      <w:r>
        <w:rPr>
          <w:rFonts w:hint="eastAsia" w:ascii="黑体" w:hAnsi="宋体" w:eastAsia="黑体"/>
          <w:bCs/>
          <w:sz w:val="32"/>
          <w:szCs w:val="32"/>
        </w:rPr>
        <w:t>附件1</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全国青少年校园足球特色学校</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创建指标体系</w:t>
      </w:r>
    </w:p>
    <w:tbl>
      <w:tblPr>
        <w:tblStyle w:val="7"/>
        <w:tblW w:w="9412"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18"/>
        <w:gridCol w:w="4799"/>
        <w:gridCol w:w="71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59" w:type="dxa"/>
            <w:vAlign w:val="center"/>
          </w:tcPr>
          <w:p>
            <w:pPr>
              <w:jc w:val="center"/>
              <w:rPr>
                <w:b/>
                <w:szCs w:val="21"/>
              </w:rPr>
            </w:pPr>
            <w:r>
              <w:rPr>
                <w:rFonts w:hint="eastAsia"/>
                <w:b/>
                <w:szCs w:val="21"/>
              </w:rPr>
              <w:t>评审指标</w:t>
            </w:r>
          </w:p>
        </w:tc>
        <w:tc>
          <w:tcPr>
            <w:tcW w:w="1818" w:type="dxa"/>
            <w:vAlign w:val="center"/>
          </w:tcPr>
          <w:p>
            <w:pPr>
              <w:jc w:val="center"/>
              <w:rPr>
                <w:b/>
                <w:szCs w:val="21"/>
              </w:rPr>
            </w:pPr>
            <w:r>
              <w:rPr>
                <w:rFonts w:hint="eastAsia"/>
                <w:b/>
                <w:szCs w:val="21"/>
              </w:rPr>
              <w:t>主要观测点</w:t>
            </w:r>
          </w:p>
        </w:tc>
        <w:tc>
          <w:tcPr>
            <w:tcW w:w="4799" w:type="dxa"/>
            <w:vAlign w:val="center"/>
          </w:tcPr>
          <w:p>
            <w:pPr>
              <w:jc w:val="center"/>
              <w:rPr>
                <w:b/>
                <w:szCs w:val="21"/>
              </w:rPr>
            </w:pPr>
            <w:r>
              <w:rPr>
                <w:rFonts w:hint="eastAsia"/>
                <w:b/>
                <w:szCs w:val="21"/>
              </w:rPr>
              <w:t>评审内容与分值</w:t>
            </w:r>
          </w:p>
        </w:tc>
        <w:tc>
          <w:tcPr>
            <w:tcW w:w="717" w:type="dxa"/>
            <w:vAlign w:val="center"/>
          </w:tcPr>
          <w:p>
            <w:pPr>
              <w:jc w:val="center"/>
              <w:rPr>
                <w:b/>
                <w:szCs w:val="21"/>
              </w:rPr>
            </w:pPr>
            <w:r>
              <w:rPr>
                <w:rFonts w:hint="eastAsia"/>
                <w:b/>
                <w:szCs w:val="21"/>
              </w:rPr>
              <w:t>分值分配</w:t>
            </w:r>
          </w:p>
        </w:tc>
        <w:tc>
          <w:tcPr>
            <w:tcW w:w="819" w:type="dxa"/>
            <w:vAlign w:val="center"/>
          </w:tcPr>
          <w:p>
            <w:pPr>
              <w:jc w:val="center"/>
              <w:rPr>
                <w:b/>
                <w:szCs w:val="21"/>
              </w:rPr>
            </w:pPr>
            <w:r>
              <w:rPr>
                <w:rFonts w:hint="eastAsia"/>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259" w:type="dxa"/>
            <w:vMerge w:val="restart"/>
            <w:vAlign w:val="center"/>
          </w:tcPr>
          <w:p>
            <w:pPr>
              <w:rPr>
                <w:szCs w:val="21"/>
              </w:rPr>
            </w:pPr>
            <w:r>
              <w:rPr>
                <w:rFonts w:hint="eastAsia"/>
                <w:szCs w:val="21"/>
              </w:rPr>
              <w:t>组织领导（10分）</w:t>
            </w:r>
          </w:p>
        </w:tc>
        <w:tc>
          <w:tcPr>
            <w:tcW w:w="1818" w:type="dxa"/>
            <w:vAlign w:val="center"/>
          </w:tcPr>
          <w:p>
            <w:pPr>
              <w:jc w:val="center"/>
              <w:rPr>
                <w:szCs w:val="21"/>
              </w:rPr>
            </w:pPr>
            <w:r>
              <w:rPr>
                <w:rFonts w:hint="eastAsia"/>
                <w:szCs w:val="21"/>
              </w:rPr>
              <w:t>落实国家政策，</w:t>
            </w:r>
          </w:p>
          <w:p>
            <w:pPr>
              <w:jc w:val="center"/>
              <w:rPr>
                <w:szCs w:val="21"/>
              </w:rPr>
            </w:pPr>
            <w:r>
              <w:rPr>
                <w:rFonts w:hint="eastAsia"/>
                <w:szCs w:val="21"/>
              </w:rPr>
              <w:t>将校园足球纳入学校发展规划</w:t>
            </w:r>
          </w:p>
          <w:p>
            <w:pPr>
              <w:jc w:val="center"/>
              <w:rPr>
                <w:szCs w:val="21"/>
              </w:rPr>
            </w:pPr>
            <w:r>
              <w:rPr>
                <w:rFonts w:hint="eastAsia"/>
                <w:szCs w:val="21"/>
              </w:rPr>
              <w:t>（4分）</w:t>
            </w:r>
          </w:p>
        </w:tc>
        <w:tc>
          <w:tcPr>
            <w:tcW w:w="4799" w:type="dxa"/>
            <w:vAlign w:val="center"/>
          </w:tcPr>
          <w:p>
            <w:pPr>
              <w:rPr>
                <w:szCs w:val="21"/>
              </w:rPr>
            </w:pPr>
            <w:r>
              <w:rPr>
                <w:rFonts w:hint="eastAsia"/>
                <w:szCs w:val="21"/>
              </w:rPr>
              <w:t>学校体育指导思想明确，重视学校体育和学生体质健康工作，把校园足球作为增强学生体质健康的重要举措（1分），将校园足球纳入学校发展规划和年度工作计划（1分），有校园足球发展目标及规划并符合学校实际（2分）</w:t>
            </w:r>
          </w:p>
        </w:tc>
        <w:tc>
          <w:tcPr>
            <w:tcW w:w="717" w:type="dxa"/>
            <w:vAlign w:val="center"/>
          </w:tcPr>
          <w:p>
            <w:pPr>
              <w:jc w:val="center"/>
              <w:rPr>
                <w:szCs w:val="21"/>
              </w:rPr>
            </w:pPr>
            <w:r>
              <w:rPr>
                <w:rFonts w:hint="eastAsia"/>
                <w:szCs w:val="21"/>
              </w:rPr>
              <w:t>4</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健全工作机制</w:t>
            </w:r>
          </w:p>
          <w:p>
            <w:pPr>
              <w:jc w:val="center"/>
              <w:rPr>
                <w:szCs w:val="21"/>
              </w:rPr>
            </w:pPr>
            <w:r>
              <w:rPr>
                <w:rFonts w:hint="eastAsia"/>
                <w:szCs w:val="21"/>
              </w:rPr>
              <w:t>（2分）</w:t>
            </w:r>
          </w:p>
        </w:tc>
        <w:tc>
          <w:tcPr>
            <w:tcW w:w="4799" w:type="dxa"/>
            <w:vAlign w:val="center"/>
          </w:tcPr>
          <w:p>
            <w:pPr>
              <w:rPr>
                <w:szCs w:val="21"/>
              </w:rPr>
            </w:pPr>
            <w:r>
              <w:rPr>
                <w:rFonts w:hint="eastAsia"/>
                <w:szCs w:val="21"/>
              </w:rPr>
              <w:t>成立校园足球工作领导小组，由校长专人负责，学校其他机构共同参与（1分），领导小组成员分工明确（1分）</w:t>
            </w:r>
          </w:p>
        </w:tc>
        <w:tc>
          <w:tcPr>
            <w:tcW w:w="717" w:type="dxa"/>
            <w:vAlign w:val="center"/>
          </w:tcPr>
          <w:p>
            <w:pPr>
              <w:jc w:val="center"/>
              <w:rPr>
                <w:szCs w:val="21"/>
              </w:rPr>
            </w:pPr>
            <w:r>
              <w:rPr>
                <w:rFonts w:hint="eastAsia"/>
                <w:szCs w:val="21"/>
              </w:rPr>
              <w:t>2</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完善规章制度</w:t>
            </w:r>
          </w:p>
          <w:p>
            <w:pPr>
              <w:jc w:val="center"/>
              <w:rPr>
                <w:szCs w:val="21"/>
              </w:rPr>
            </w:pPr>
            <w:r>
              <w:rPr>
                <w:rFonts w:hint="eastAsia"/>
                <w:szCs w:val="21"/>
              </w:rPr>
              <w:t>（4分）</w:t>
            </w:r>
          </w:p>
        </w:tc>
        <w:tc>
          <w:tcPr>
            <w:tcW w:w="4799" w:type="dxa"/>
            <w:vAlign w:val="center"/>
          </w:tcPr>
          <w:p>
            <w:pPr>
              <w:rPr>
                <w:szCs w:val="21"/>
              </w:rPr>
            </w:pPr>
            <w:r>
              <w:rPr>
                <w:rFonts w:hint="eastAsia"/>
                <w:szCs w:val="21"/>
              </w:rPr>
              <w:t>制定有校园足球工作招生、教学管理规章制度（1分）、课余训练和竞赛规章制度（1分）、运动安全防范措施与保障（1分）、师资培训规章制度（1分）</w:t>
            </w:r>
          </w:p>
        </w:tc>
        <w:tc>
          <w:tcPr>
            <w:tcW w:w="717" w:type="dxa"/>
            <w:vAlign w:val="center"/>
          </w:tcPr>
          <w:p>
            <w:pPr>
              <w:jc w:val="center"/>
              <w:rPr>
                <w:szCs w:val="21"/>
              </w:rPr>
            </w:pPr>
            <w:r>
              <w:rPr>
                <w:rFonts w:hint="eastAsia"/>
                <w:szCs w:val="21"/>
              </w:rPr>
              <w:t>4</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59" w:type="dxa"/>
            <w:vMerge w:val="restart"/>
            <w:vAlign w:val="center"/>
          </w:tcPr>
          <w:p>
            <w:pPr>
              <w:rPr>
                <w:szCs w:val="21"/>
              </w:rPr>
            </w:pPr>
            <w:r>
              <w:rPr>
                <w:rFonts w:hint="eastAsia"/>
                <w:szCs w:val="21"/>
              </w:rPr>
              <w:t>条件保障（27分）</w:t>
            </w:r>
          </w:p>
        </w:tc>
        <w:tc>
          <w:tcPr>
            <w:tcW w:w="1818" w:type="dxa"/>
            <w:vAlign w:val="center"/>
          </w:tcPr>
          <w:p>
            <w:pPr>
              <w:jc w:val="center"/>
              <w:rPr>
                <w:szCs w:val="21"/>
              </w:rPr>
            </w:pPr>
            <w:r>
              <w:rPr>
                <w:rFonts w:hint="eastAsia"/>
                <w:szCs w:val="21"/>
              </w:rPr>
              <w:t>体育师资队伍</w:t>
            </w:r>
          </w:p>
          <w:p>
            <w:pPr>
              <w:jc w:val="center"/>
              <w:rPr>
                <w:szCs w:val="21"/>
              </w:rPr>
            </w:pPr>
            <w:r>
              <w:rPr>
                <w:rFonts w:hint="eastAsia"/>
                <w:szCs w:val="21"/>
              </w:rPr>
              <w:t>（7分）</w:t>
            </w:r>
          </w:p>
        </w:tc>
        <w:tc>
          <w:tcPr>
            <w:tcW w:w="4799" w:type="dxa"/>
            <w:vAlign w:val="center"/>
          </w:tcPr>
          <w:p>
            <w:pPr>
              <w:rPr>
                <w:szCs w:val="21"/>
              </w:rPr>
            </w:pPr>
            <w:r>
              <w:rPr>
                <w:rFonts w:hint="eastAsia"/>
                <w:szCs w:val="21"/>
              </w:rPr>
              <w:t>体育教师配备达到国家标准（2分），足球专项教师大于4、3、2、1人（含）以上（分别给4、3、2分），每年有一次以上培训机会（1分）</w:t>
            </w:r>
          </w:p>
        </w:tc>
        <w:tc>
          <w:tcPr>
            <w:tcW w:w="717" w:type="dxa"/>
            <w:vAlign w:val="center"/>
          </w:tcPr>
          <w:p>
            <w:pPr>
              <w:jc w:val="center"/>
              <w:rPr>
                <w:szCs w:val="21"/>
              </w:rPr>
            </w:pPr>
            <w:r>
              <w:rPr>
                <w:rFonts w:hint="eastAsia"/>
                <w:szCs w:val="21"/>
              </w:rPr>
              <w:t>7</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体育教师待遇</w:t>
            </w:r>
          </w:p>
          <w:p>
            <w:pPr>
              <w:jc w:val="center"/>
              <w:rPr>
                <w:szCs w:val="21"/>
              </w:rPr>
            </w:pPr>
            <w:r>
              <w:rPr>
                <w:rFonts w:hint="eastAsia"/>
                <w:szCs w:val="21"/>
              </w:rPr>
              <w:t>（4分）</w:t>
            </w:r>
          </w:p>
        </w:tc>
        <w:tc>
          <w:tcPr>
            <w:tcW w:w="4799" w:type="dxa"/>
            <w:vAlign w:val="center"/>
          </w:tcPr>
          <w:p>
            <w:pPr>
              <w:rPr>
                <w:szCs w:val="21"/>
              </w:rPr>
            </w:pPr>
            <w:r>
              <w:rPr>
                <w:rFonts w:hint="eastAsia"/>
                <w:szCs w:val="21"/>
              </w:rPr>
              <w:t>体育教师开展体育教学和足球训练及活动计入工作量（2分），并保证在评优评比与工资待遇（1分）、职务评聘（1分）等方面享受同等待遇</w:t>
            </w:r>
          </w:p>
        </w:tc>
        <w:tc>
          <w:tcPr>
            <w:tcW w:w="717" w:type="dxa"/>
            <w:vAlign w:val="center"/>
          </w:tcPr>
          <w:p>
            <w:pPr>
              <w:jc w:val="center"/>
              <w:rPr>
                <w:szCs w:val="21"/>
              </w:rPr>
            </w:pPr>
            <w:r>
              <w:rPr>
                <w:rFonts w:hint="eastAsia"/>
                <w:szCs w:val="21"/>
              </w:rPr>
              <w:t>4</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场地设施建设</w:t>
            </w:r>
          </w:p>
          <w:p>
            <w:pPr>
              <w:jc w:val="center"/>
              <w:rPr>
                <w:szCs w:val="21"/>
              </w:rPr>
            </w:pPr>
            <w:r>
              <w:rPr>
                <w:rFonts w:hint="eastAsia"/>
                <w:szCs w:val="21"/>
              </w:rPr>
              <w:t>（10分）</w:t>
            </w:r>
          </w:p>
        </w:tc>
        <w:tc>
          <w:tcPr>
            <w:tcW w:w="4799" w:type="dxa"/>
            <w:vAlign w:val="center"/>
          </w:tcPr>
          <w:p>
            <w:pPr>
              <w:rPr>
                <w:szCs w:val="21"/>
              </w:rPr>
            </w:pPr>
            <w:r>
              <w:rPr>
                <w:rFonts w:hint="eastAsia"/>
                <w:szCs w:val="21"/>
              </w:rPr>
              <w:t>场地设施、器械配备达到国家标准（3分），并建设有11、7、5人制的足球场地（分别给5、4、3分），能满足教学和课余足球训练需要，足球器材数量齐备、并有明确的补充机制（2分）</w:t>
            </w:r>
          </w:p>
        </w:tc>
        <w:tc>
          <w:tcPr>
            <w:tcW w:w="717" w:type="dxa"/>
            <w:vAlign w:val="center"/>
          </w:tcPr>
          <w:p>
            <w:pPr>
              <w:jc w:val="center"/>
              <w:rPr>
                <w:szCs w:val="21"/>
              </w:rPr>
            </w:pPr>
            <w:r>
              <w:rPr>
                <w:rFonts w:hint="eastAsia"/>
                <w:szCs w:val="21"/>
              </w:rPr>
              <w:t>10</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体育经费投入</w:t>
            </w:r>
          </w:p>
          <w:p>
            <w:pPr>
              <w:jc w:val="center"/>
              <w:rPr>
                <w:szCs w:val="21"/>
              </w:rPr>
            </w:pPr>
            <w:r>
              <w:rPr>
                <w:rFonts w:hint="eastAsia"/>
                <w:szCs w:val="21"/>
              </w:rPr>
              <w:t>（6分）</w:t>
            </w:r>
          </w:p>
        </w:tc>
        <w:tc>
          <w:tcPr>
            <w:tcW w:w="4799" w:type="dxa"/>
            <w:vAlign w:val="center"/>
          </w:tcPr>
          <w:p>
            <w:pPr>
              <w:rPr>
                <w:szCs w:val="21"/>
              </w:rPr>
            </w:pPr>
            <w:r>
              <w:rPr>
                <w:rFonts w:hint="eastAsia"/>
                <w:szCs w:val="21"/>
              </w:rPr>
              <w:t>设立有体育工作专项经费，每年生均体育经费不低于生均公用经费的10%（3分），能为学生购买有校方责任险（1分），并为学生新增购买运动意外伤害险（2分）</w:t>
            </w:r>
          </w:p>
        </w:tc>
        <w:tc>
          <w:tcPr>
            <w:tcW w:w="717" w:type="dxa"/>
            <w:vAlign w:val="center"/>
          </w:tcPr>
          <w:p>
            <w:pPr>
              <w:jc w:val="center"/>
              <w:rPr>
                <w:szCs w:val="21"/>
              </w:rPr>
            </w:pPr>
            <w:r>
              <w:rPr>
                <w:rFonts w:hint="eastAsia"/>
                <w:szCs w:val="21"/>
              </w:rPr>
              <w:t>6</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59" w:type="dxa"/>
            <w:vMerge w:val="restart"/>
            <w:vAlign w:val="center"/>
          </w:tcPr>
          <w:p>
            <w:pPr>
              <w:rPr>
                <w:szCs w:val="21"/>
              </w:rPr>
            </w:pPr>
            <w:r>
              <w:rPr>
                <w:rFonts w:hint="eastAsia"/>
                <w:szCs w:val="21"/>
              </w:rPr>
              <w:t>教育教学</w:t>
            </w:r>
          </w:p>
          <w:p>
            <w:pPr>
              <w:rPr>
                <w:szCs w:val="21"/>
              </w:rPr>
            </w:pPr>
            <w:r>
              <w:rPr>
                <w:rFonts w:hint="eastAsia"/>
                <w:szCs w:val="21"/>
              </w:rPr>
              <w:t>（27分）</w:t>
            </w:r>
          </w:p>
        </w:tc>
        <w:tc>
          <w:tcPr>
            <w:tcW w:w="1818" w:type="dxa"/>
            <w:vAlign w:val="center"/>
          </w:tcPr>
          <w:p>
            <w:pPr>
              <w:jc w:val="center"/>
              <w:rPr>
                <w:szCs w:val="21"/>
              </w:rPr>
            </w:pPr>
            <w:r>
              <w:rPr>
                <w:rFonts w:hint="eastAsia"/>
                <w:szCs w:val="21"/>
              </w:rPr>
              <w:t>教学理念</w:t>
            </w:r>
          </w:p>
          <w:p>
            <w:pPr>
              <w:jc w:val="center"/>
              <w:rPr>
                <w:szCs w:val="21"/>
              </w:rPr>
            </w:pPr>
            <w:r>
              <w:rPr>
                <w:rFonts w:hint="eastAsia"/>
                <w:szCs w:val="21"/>
              </w:rPr>
              <w:t>（4分）</w:t>
            </w:r>
          </w:p>
        </w:tc>
        <w:tc>
          <w:tcPr>
            <w:tcW w:w="4799" w:type="dxa"/>
            <w:vAlign w:val="center"/>
          </w:tcPr>
          <w:p>
            <w:pPr>
              <w:rPr>
                <w:szCs w:val="21"/>
              </w:rPr>
            </w:pPr>
            <w:r>
              <w:rPr>
                <w:rFonts w:hint="eastAsia"/>
                <w:szCs w:val="21"/>
              </w:rPr>
              <w:t>深化学校体育改革，坚持健康第一，每学年《国家学生体质健康标准》测试率达到100%（2分），把足球作为立德树人的载体，积极推进素质教育，促进学生全面发展，健康成长，《国家学生体质健康标准》测试率优良率达到30%（2分）</w:t>
            </w:r>
          </w:p>
        </w:tc>
        <w:tc>
          <w:tcPr>
            <w:tcW w:w="717" w:type="dxa"/>
            <w:vAlign w:val="center"/>
          </w:tcPr>
          <w:p>
            <w:pPr>
              <w:jc w:val="center"/>
              <w:rPr>
                <w:szCs w:val="21"/>
              </w:rPr>
            </w:pPr>
            <w:r>
              <w:rPr>
                <w:rFonts w:hint="eastAsia"/>
                <w:szCs w:val="21"/>
              </w:rPr>
              <w:t>4</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体育课时</w:t>
            </w:r>
          </w:p>
          <w:p>
            <w:pPr>
              <w:jc w:val="center"/>
              <w:rPr>
                <w:szCs w:val="21"/>
              </w:rPr>
            </w:pPr>
            <w:r>
              <w:rPr>
                <w:rFonts w:hint="eastAsia"/>
                <w:szCs w:val="21"/>
              </w:rPr>
              <w:t>（9分）</w:t>
            </w:r>
          </w:p>
        </w:tc>
        <w:tc>
          <w:tcPr>
            <w:tcW w:w="4799" w:type="dxa"/>
            <w:vAlign w:val="center"/>
          </w:tcPr>
          <w:p>
            <w:pPr>
              <w:rPr>
                <w:szCs w:val="21"/>
              </w:rPr>
            </w:pPr>
            <w:r>
              <w:rPr>
                <w:rFonts w:hint="eastAsia"/>
                <w:szCs w:val="21"/>
              </w:rPr>
              <w:t>开足开齐体育课（1—2年级每周4学时，3—6年级每周3学时，7—9年级每周3学时，9—12年级每周2学时）（3分），义务教育阶段把足球作为体育课必修内容（1分），每周每班不少于一节足球教学课（3分），高中阶段学校开设足球选修课（1分），每天安排有体育大课间活动（1分）</w:t>
            </w:r>
          </w:p>
        </w:tc>
        <w:tc>
          <w:tcPr>
            <w:tcW w:w="717" w:type="dxa"/>
            <w:vAlign w:val="center"/>
          </w:tcPr>
          <w:p>
            <w:pPr>
              <w:jc w:val="center"/>
              <w:rPr>
                <w:szCs w:val="21"/>
              </w:rPr>
            </w:pPr>
            <w:r>
              <w:rPr>
                <w:rFonts w:hint="eastAsia"/>
                <w:szCs w:val="21"/>
              </w:rPr>
              <w:t>9</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足球课程资源</w:t>
            </w:r>
          </w:p>
          <w:p>
            <w:pPr>
              <w:jc w:val="center"/>
              <w:rPr>
                <w:szCs w:val="21"/>
              </w:rPr>
            </w:pPr>
            <w:r>
              <w:rPr>
                <w:rFonts w:hint="eastAsia"/>
                <w:szCs w:val="21"/>
              </w:rPr>
              <w:t>（8分）</w:t>
            </w:r>
          </w:p>
        </w:tc>
        <w:tc>
          <w:tcPr>
            <w:tcW w:w="4799" w:type="dxa"/>
            <w:vAlign w:val="center"/>
          </w:tcPr>
          <w:p>
            <w:pPr>
              <w:rPr>
                <w:szCs w:val="21"/>
              </w:rPr>
            </w:pPr>
            <w:r>
              <w:rPr>
                <w:rFonts w:hint="eastAsia"/>
                <w:szCs w:val="21"/>
              </w:rPr>
              <w:t>开发和编制有足球校本教材（3分），有详细的足球教学教案（2分），每周实施适合学生年龄特点的足球教学和课外活动3、2、1次（分别给3、2、1分）</w:t>
            </w:r>
          </w:p>
        </w:tc>
        <w:tc>
          <w:tcPr>
            <w:tcW w:w="717" w:type="dxa"/>
            <w:vAlign w:val="center"/>
          </w:tcPr>
          <w:p>
            <w:pPr>
              <w:jc w:val="center"/>
              <w:rPr>
                <w:szCs w:val="21"/>
              </w:rPr>
            </w:pPr>
            <w:r>
              <w:rPr>
                <w:rFonts w:hint="eastAsia"/>
                <w:szCs w:val="21"/>
              </w:rPr>
              <w:t>8</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校园足球文化</w:t>
            </w:r>
          </w:p>
          <w:p>
            <w:pPr>
              <w:jc w:val="center"/>
              <w:rPr>
                <w:szCs w:val="21"/>
              </w:rPr>
            </w:pPr>
            <w:r>
              <w:rPr>
                <w:rFonts w:hint="eastAsia"/>
                <w:szCs w:val="21"/>
              </w:rPr>
              <w:t>（6分）</w:t>
            </w:r>
          </w:p>
        </w:tc>
        <w:tc>
          <w:tcPr>
            <w:tcW w:w="4799" w:type="dxa"/>
            <w:vAlign w:val="center"/>
          </w:tcPr>
          <w:p>
            <w:pPr>
              <w:rPr>
                <w:szCs w:val="21"/>
              </w:rPr>
            </w:pPr>
            <w:r>
              <w:rPr>
                <w:rFonts w:hint="eastAsia"/>
                <w:szCs w:val="21"/>
              </w:rPr>
              <w:t>每学年有4、3、2、1次足球主题校园文化活动（如摄影、绘画、征文、演讲等）（分别给4、3、2、1分），建立有校园足球信息平台（1分），动态报道足球活动、交流工作经验、展示特色成果（1分）</w:t>
            </w:r>
          </w:p>
        </w:tc>
        <w:tc>
          <w:tcPr>
            <w:tcW w:w="717" w:type="dxa"/>
            <w:vAlign w:val="center"/>
          </w:tcPr>
          <w:p>
            <w:pPr>
              <w:jc w:val="center"/>
              <w:rPr>
                <w:szCs w:val="21"/>
              </w:rPr>
            </w:pPr>
            <w:r>
              <w:rPr>
                <w:rFonts w:hint="eastAsia"/>
                <w:szCs w:val="21"/>
              </w:rPr>
              <w:t>6</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Merge w:val="restart"/>
            <w:vAlign w:val="center"/>
          </w:tcPr>
          <w:p>
            <w:pPr>
              <w:rPr>
                <w:szCs w:val="21"/>
              </w:rPr>
            </w:pPr>
            <w:r>
              <w:rPr>
                <w:rFonts w:hint="eastAsia"/>
                <w:szCs w:val="21"/>
              </w:rPr>
              <w:t>训练与竞赛（33分）</w:t>
            </w:r>
          </w:p>
        </w:tc>
        <w:tc>
          <w:tcPr>
            <w:tcW w:w="1818" w:type="dxa"/>
            <w:vAlign w:val="center"/>
          </w:tcPr>
          <w:p>
            <w:pPr>
              <w:jc w:val="center"/>
              <w:rPr>
                <w:szCs w:val="21"/>
              </w:rPr>
            </w:pPr>
            <w:r>
              <w:rPr>
                <w:rFonts w:hint="eastAsia"/>
                <w:szCs w:val="21"/>
              </w:rPr>
              <w:t>足球社团组织</w:t>
            </w:r>
          </w:p>
          <w:p>
            <w:pPr>
              <w:jc w:val="center"/>
              <w:rPr>
                <w:szCs w:val="21"/>
              </w:rPr>
            </w:pPr>
            <w:r>
              <w:rPr>
                <w:rFonts w:hint="eastAsia"/>
                <w:szCs w:val="21"/>
              </w:rPr>
              <w:t>（9分）</w:t>
            </w:r>
          </w:p>
        </w:tc>
        <w:tc>
          <w:tcPr>
            <w:tcW w:w="4799" w:type="dxa"/>
            <w:vAlign w:val="center"/>
          </w:tcPr>
          <w:p>
            <w:pPr>
              <w:rPr>
                <w:szCs w:val="21"/>
              </w:rPr>
            </w:pPr>
            <w:r>
              <w:rPr>
                <w:rFonts w:hint="eastAsia"/>
                <w:szCs w:val="21"/>
              </w:rPr>
              <w:t>学校成立足球俱乐部或兴趣小组（3分），小学三年级以上建有班级代表队（1分）、年级代表队（1分），学校建有校级足球代表队男队（1分）、女队（1分），学生基本达到全员参与足球（2分）</w:t>
            </w:r>
          </w:p>
        </w:tc>
        <w:tc>
          <w:tcPr>
            <w:tcW w:w="717" w:type="dxa"/>
            <w:vAlign w:val="center"/>
          </w:tcPr>
          <w:p>
            <w:pPr>
              <w:jc w:val="center"/>
              <w:rPr>
                <w:szCs w:val="21"/>
              </w:rPr>
            </w:pPr>
            <w:r>
              <w:rPr>
                <w:rFonts w:hint="eastAsia"/>
                <w:szCs w:val="21"/>
              </w:rPr>
              <w:t>9</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开展训练</w:t>
            </w:r>
          </w:p>
          <w:p>
            <w:pPr>
              <w:jc w:val="center"/>
              <w:rPr>
                <w:szCs w:val="21"/>
              </w:rPr>
            </w:pPr>
            <w:r>
              <w:rPr>
                <w:rFonts w:hint="eastAsia"/>
                <w:szCs w:val="21"/>
              </w:rPr>
              <w:t>（12分）</w:t>
            </w:r>
          </w:p>
        </w:tc>
        <w:tc>
          <w:tcPr>
            <w:tcW w:w="4799" w:type="dxa"/>
            <w:vAlign w:val="center"/>
          </w:tcPr>
          <w:p>
            <w:pPr>
              <w:rPr>
                <w:szCs w:val="21"/>
              </w:rPr>
            </w:pPr>
            <w:r>
              <w:rPr>
                <w:rFonts w:hint="eastAsia"/>
                <w:szCs w:val="21"/>
              </w:rPr>
              <w:t>学校足球代表队和课外足球俱乐部制定有系统、科学的训练计划（2分），每周开展课余足球训练5、4、3、2次（分别给5、4、3、2分），并配备有安全、医疗等应急方案（1分），每学期邀请校外专业教练员提供技术指导不少于5、4、3、2次（分别给4、3、2、1分）</w:t>
            </w:r>
          </w:p>
        </w:tc>
        <w:tc>
          <w:tcPr>
            <w:tcW w:w="717" w:type="dxa"/>
            <w:vAlign w:val="center"/>
          </w:tcPr>
          <w:p>
            <w:pPr>
              <w:jc w:val="center"/>
              <w:rPr>
                <w:szCs w:val="21"/>
              </w:rPr>
            </w:pPr>
            <w:r>
              <w:rPr>
                <w:rFonts w:hint="eastAsia"/>
                <w:szCs w:val="21"/>
              </w:rPr>
              <w:t>12</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组织竞赛</w:t>
            </w:r>
          </w:p>
          <w:p>
            <w:pPr>
              <w:jc w:val="center"/>
              <w:rPr>
                <w:szCs w:val="21"/>
              </w:rPr>
            </w:pPr>
            <w:r>
              <w:rPr>
                <w:rFonts w:hint="eastAsia"/>
                <w:szCs w:val="21"/>
              </w:rPr>
              <w:t>（8分）</w:t>
            </w:r>
          </w:p>
        </w:tc>
        <w:tc>
          <w:tcPr>
            <w:tcW w:w="4799" w:type="dxa"/>
            <w:vAlign w:val="center"/>
          </w:tcPr>
          <w:p>
            <w:pPr>
              <w:rPr>
                <w:szCs w:val="21"/>
              </w:rPr>
            </w:pPr>
            <w:r>
              <w:rPr>
                <w:rFonts w:hint="eastAsia"/>
                <w:szCs w:val="21"/>
              </w:rPr>
              <w:t>制订有足球竞赛制度（1分）；每年组织校内足球班级联赛（2分），每个班级参与比赛场次每年不少于10、5场（分别给2、1分），积极参加区域内校园足球联赛（2分）；承办本地足球比赛次（1分）</w:t>
            </w:r>
          </w:p>
        </w:tc>
        <w:tc>
          <w:tcPr>
            <w:tcW w:w="717" w:type="dxa"/>
            <w:vAlign w:val="center"/>
          </w:tcPr>
          <w:p>
            <w:pPr>
              <w:jc w:val="center"/>
              <w:rPr>
                <w:szCs w:val="21"/>
              </w:rPr>
            </w:pPr>
            <w:r>
              <w:rPr>
                <w:rFonts w:hint="eastAsia"/>
                <w:szCs w:val="21"/>
              </w:rPr>
              <w:t>8</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Merge w:val="continue"/>
            <w:vAlign w:val="center"/>
          </w:tcPr>
          <w:p>
            <w:pPr>
              <w:rPr>
                <w:szCs w:val="21"/>
              </w:rPr>
            </w:pPr>
          </w:p>
        </w:tc>
        <w:tc>
          <w:tcPr>
            <w:tcW w:w="1818" w:type="dxa"/>
            <w:vAlign w:val="center"/>
          </w:tcPr>
          <w:p>
            <w:pPr>
              <w:jc w:val="center"/>
              <w:rPr>
                <w:szCs w:val="21"/>
              </w:rPr>
            </w:pPr>
            <w:r>
              <w:rPr>
                <w:rFonts w:hint="eastAsia"/>
                <w:szCs w:val="21"/>
              </w:rPr>
              <w:t>文化学习</w:t>
            </w:r>
          </w:p>
          <w:p>
            <w:pPr>
              <w:jc w:val="center"/>
              <w:rPr>
                <w:szCs w:val="21"/>
              </w:rPr>
            </w:pPr>
            <w:r>
              <w:rPr>
                <w:rFonts w:hint="eastAsia"/>
                <w:szCs w:val="21"/>
              </w:rPr>
              <w:t>（4分）</w:t>
            </w:r>
          </w:p>
        </w:tc>
        <w:tc>
          <w:tcPr>
            <w:tcW w:w="4799" w:type="dxa"/>
            <w:vAlign w:val="center"/>
          </w:tcPr>
          <w:p>
            <w:pPr>
              <w:rPr>
                <w:szCs w:val="21"/>
              </w:rPr>
            </w:pPr>
            <w:r>
              <w:rPr>
                <w:rFonts w:hint="eastAsia"/>
                <w:szCs w:val="21"/>
              </w:rPr>
              <w:t>对学校足球代表队运动员参加训练、比赛，制定有具体的文化学习计划和要求（2分），其文化学习成绩达到同年级平均水平（2分）</w:t>
            </w:r>
          </w:p>
        </w:tc>
        <w:tc>
          <w:tcPr>
            <w:tcW w:w="717" w:type="dxa"/>
            <w:vAlign w:val="center"/>
          </w:tcPr>
          <w:p>
            <w:pPr>
              <w:jc w:val="center"/>
              <w:rPr>
                <w:szCs w:val="21"/>
              </w:rPr>
            </w:pPr>
            <w:r>
              <w:rPr>
                <w:rFonts w:hint="eastAsia"/>
                <w:szCs w:val="21"/>
              </w:rPr>
              <w:t>4</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Align w:val="center"/>
          </w:tcPr>
          <w:p>
            <w:pPr>
              <w:rPr>
                <w:szCs w:val="21"/>
              </w:rPr>
            </w:pPr>
            <w:r>
              <w:rPr>
                <w:rFonts w:hint="eastAsia"/>
                <w:szCs w:val="21"/>
              </w:rPr>
              <w:t>后备人才培养（3分）</w:t>
            </w:r>
          </w:p>
        </w:tc>
        <w:tc>
          <w:tcPr>
            <w:tcW w:w="1818" w:type="dxa"/>
            <w:vAlign w:val="center"/>
          </w:tcPr>
          <w:p>
            <w:pPr>
              <w:jc w:val="center"/>
              <w:rPr>
                <w:szCs w:val="21"/>
              </w:rPr>
            </w:pPr>
            <w:r>
              <w:rPr>
                <w:rFonts w:hint="eastAsia"/>
                <w:szCs w:val="21"/>
              </w:rPr>
              <w:t>输送优秀学生</w:t>
            </w:r>
          </w:p>
          <w:p>
            <w:pPr>
              <w:jc w:val="center"/>
              <w:rPr>
                <w:szCs w:val="21"/>
              </w:rPr>
            </w:pPr>
            <w:r>
              <w:rPr>
                <w:rFonts w:hint="eastAsia"/>
                <w:szCs w:val="21"/>
              </w:rPr>
              <w:t>运动员</w:t>
            </w:r>
          </w:p>
          <w:p>
            <w:pPr>
              <w:jc w:val="center"/>
              <w:rPr>
                <w:szCs w:val="21"/>
              </w:rPr>
            </w:pPr>
            <w:r>
              <w:rPr>
                <w:rFonts w:hint="eastAsia"/>
                <w:szCs w:val="21"/>
              </w:rPr>
              <w:t>（3分）</w:t>
            </w:r>
          </w:p>
        </w:tc>
        <w:tc>
          <w:tcPr>
            <w:tcW w:w="4799" w:type="dxa"/>
            <w:vAlign w:val="center"/>
          </w:tcPr>
          <w:p>
            <w:pPr>
              <w:rPr>
                <w:szCs w:val="21"/>
              </w:rPr>
            </w:pPr>
            <w:r>
              <w:rPr>
                <w:rFonts w:hint="eastAsia"/>
                <w:szCs w:val="21"/>
              </w:rPr>
              <w:t>近年向上一级学校足球运动队输送优秀人才不少于3、2、1名（分别给3、2、1分）</w:t>
            </w:r>
          </w:p>
        </w:tc>
        <w:tc>
          <w:tcPr>
            <w:tcW w:w="717" w:type="dxa"/>
            <w:vAlign w:val="center"/>
          </w:tcPr>
          <w:p>
            <w:pPr>
              <w:jc w:val="center"/>
              <w:rPr>
                <w:szCs w:val="21"/>
              </w:rPr>
            </w:pPr>
            <w:r>
              <w:rPr>
                <w:rFonts w:hint="eastAsia"/>
                <w:szCs w:val="21"/>
              </w:rPr>
              <w:t>3</w:t>
            </w:r>
          </w:p>
        </w:tc>
        <w:tc>
          <w:tcPr>
            <w:tcW w:w="81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59" w:type="dxa"/>
            <w:vAlign w:val="center"/>
          </w:tcPr>
          <w:p>
            <w:pPr>
              <w:rPr>
                <w:szCs w:val="21"/>
              </w:rPr>
            </w:pPr>
            <w:r>
              <w:rPr>
                <w:rFonts w:hint="eastAsia"/>
                <w:szCs w:val="21"/>
              </w:rPr>
              <w:t>总得分</w:t>
            </w:r>
          </w:p>
        </w:tc>
        <w:tc>
          <w:tcPr>
            <w:tcW w:w="8153"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59" w:type="dxa"/>
            <w:vAlign w:val="center"/>
          </w:tcPr>
          <w:p>
            <w:pPr>
              <w:rPr>
                <w:szCs w:val="21"/>
              </w:rPr>
            </w:pPr>
            <w:r>
              <w:rPr>
                <w:rFonts w:hint="eastAsia"/>
                <w:szCs w:val="21"/>
              </w:rPr>
              <w:t>一票否决</w:t>
            </w:r>
          </w:p>
        </w:tc>
        <w:tc>
          <w:tcPr>
            <w:tcW w:w="8153" w:type="dxa"/>
            <w:gridSpan w:val="4"/>
            <w:vAlign w:val="center"/>
          </w:tcPr>
          <w:p>
            <w:pPr>
              <w:rPr>
                <w:szCs w:val="21"/>
              </w:rPr>
            </w:pPr>
            <w:r>
              <w:rPr>
                <w:rFonts w:hint="eastAsia"/>
                <w:szCs w:val="21"/>
              </w:rPr>
              <w:t>1．未能确保每周一节足球课</w:t>
            </w:r>
          </w:p>
          <w:p>
            <w:pPr>
              <w:rPr>
                <w:szCs w:val="21"/>
              </w:rPr>
            </w:pPr>
            <w:r>
              <w:rPr>
                <w:rFonts w:hint="eastAsia"/>
                <w:szCs w:val="21"/>
              </w:rPr>
              <w:t>2．《国家学生体质健康标准》优良率连续两年下降</w:t>
            </w:r>
          </w:p>
          <w:p>
            <w:pPr>
              <w:rPr>
                <w:szCs w:val="21"/>
              </w:rPr>
            </w:pPr>
            <w:r>
              <w:rPr>
                <w:rFonts w:hint="eastAsia"/>
                <w:szCs w:val="21"/>
              </w:rPr>
              <w:t>3．未开展校内班级联赛活动</w:t>
            </w:r>
          </w:p>
          <w:p>
            <w:pPr>
              <w:rPr>
                <w:szCs w:val="21"/>
              </w:rPr>
            </w:pPr>
          </w:p>
        </w:tc>
      </w:tr>
    </w:tbl>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spacing w:line="560" w:lineRule="atLeast"/>
        <w:rPr>
          <w:rFonts w:ascii="黑体" w:hAnsi="黑体" w:eastAsia="黑体"/>
          <w:spacing w:val="-8"/>
          <w:sz w:val="32"/>
          <w:szCs w:val="32"/>
        </w:rPr>
      </w:pPr>
      <w:r>
        <w:rPr>
          <w:rFonts w:hint="eastAsia" w:ascii="黑体" w:hAnsi="黑体" w:eastAsia="黑体"/>
          <w:sz w:val="32"/>
          <w:szCs w:val="32"/>
        </w:rPr>
        <w:t>附件2</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全国青少年校园足球特色学校和试点县（区）申报系统说明</w:t>
      </w:r>
    </w:p>
    <w:p>
      <w:pPr>
        <w:spacing w:line="560" w:lineRule="exact"/>
        <w:jc w:val="center"/>
        <w:rPr>
          <w:rFonts w:ascii="方正小标宋简体" w:hAnsi="仿宋" w:eastAsia="方正小标宋简体"/>
          <w:sz w:val="44"/>
          <w:szCs w:val="44"/>
        </w:rPr>
      </w:pPr>
    </w:p>
    <w:p>
      <w:pPr>
        <w:pStyle w:val="14"/>
        <w:widowControl/>
        <w:adjustRightInd w:val="0"/>
        <w:snapToGrid w:val="0"/>
        <w:spacing w:line="560" w:lineRule="atLeast"/>
        <w:ind w:firstLine="643"/>
        <w:jc w:val="left"/>
        <w:rPr>
          <w:rFonts w:ascii="黑体" w:hAnsi="黑体" w:eastAsia="黑体" w:cs="黑体"/>
          <w:b/>
          <w:bCs/>
          <w:kern w:val="0"/>
          <w:sz w:val="32"/>
          <w:szCs w:val="32"/>
        </w:rPr>
      </w:pPr>
      <w:r>
        <w:rPr>
          <w:rFonts w:hint="eastAsia" w:ascii="黑体" w:hAnsi="黑体" w:eastAsia="黑体" w:cs="黑体"/>
          <w:b/>
          <w:bCs/>
          <w:kern w:val="0"/>
          <w:sz w:val="32"/>
          <w:szCs w:val="32"/>
        </w:rPr>
        <w:t>一、申报网址</w:t>
      </w:r>
    </w:p>
    <w:p>
      <w:pPr>
        <w:pStyle w:val="14"/>
        <w:widowControl/>
        <w:adjustRightInd w:val="0"/>
        <w:snapToGrid w:val="0"/>
        <w:spacing w:line="560" w:lineRule="atLeast"/>
        <w:ind w:left="420" w:leftChars="200" w:firstLine="0" w:firstLineChars="0"/>
        <w:jc w:val="left"/>
        <w:rPr>
          <w:rFonts w:ascii="仿宋" w:hAnsi="仿宋" w:eastAsia="仿宋" w:cs="方正仿宋简体"/>
          <w:kern w:val="0"/>
          <w:sz w:val="32"/>
          <w:szCs w:val="32"/>
        </w:rPr>
      </w:pPr>
      <w:r>
        <w:rPr>
          <w:rFonts w:hint="eastAsia" w:ascii="仿宋" w:hAnsi="仿宋" w:eastAsia="仿宋" w:cs="方正仿宋简体"/>
          <w:kern w:val="0"/>
          <w:sz w:val="32"/>
          <w:szCs w:val="32"/>
        </w:rPr>
        <w:t>全国青少年校园足球</w:t>
      </w:r>
      <w:r>
        <w:rPr>
          <w:rFonts w:ascii="仿宋" w:hAnsi="仿宋" w:eastAsia="仿宋" w:cs="方正仿宋简体"/>
          <w:kern w:val="0"/>
          <w:sz w:val="32"/>
          <w:szCs w:val="32"/>
        </w:rPr>
        <w:t>管理信息</w:t>
      </w:r>
      <w:r>
        <w:rPr>
          <w:rFonts w:hint="eastAsia" w:ascii="仿宋" w:hAnsi="仿宋" w:eastAsia="仿宋" w:cs="方正仿宋简体"/>
          <w:kern w:val="0"/>
          <w:sz w:val="32"/>
          <w:szCs w:val="32"/>
        </w:rPr>
        <w:t>系统（网址：https://xyzq.moe.gov.cn）</w:t>
      </w:r>
    </w:p>
    <w:p>
      <w:pPr>
        <w:widowControl/>
        <w:adjustRightInd w:val="0"/>
        <w:snapToGrid w:val="0"/>
        <w:spacing w:line="560" w:lineRule="atLeas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二、申报流程</w:t>
      </w:r>
    </w:p>
    <w:p>
      <w:pPr>
        <w:widowControl/>
        <w:adjustRightInd w:val="0"/>
        <w:snapToGrid w:val="0"/>
        <w:spacing w:line="560" w:lineRule="atLeast"/>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（1）登录申报系统首页；</w:t>
      </w:r>
    </w:p>
    <w:p>
      <w:pPr>
        <w:widowControl/>
        <w:adjustRightInd w:val="0"/>
        <w:snapToGrid w:val="0"/>
        <w:spacing w:line="560" w:lineRule="atLeast"/>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（2）点击“校园足球特色学校、试点县（区）申报”；</w:t>
      </w:r>
    </w:p>
    <w:p>
      <w:pPr>
        <w:widowControl/>
        <w:adjustRightInd w:val="0"/>
        <w:snapToGrid w:val="0"/>
        <w:spacing w:line="560" w:lineRule="atLeast"/>
        <w:jc w:val="center"/>
        <w:rPr>
          <w:rFonts w:ascii="Calibri" w:hAnsi="Calibri" w:eastAsia="仿宋" w:cs="Calibri"/>
          <w:kern w:val="0"/>
          <w:sz w:val="32"/>
          <w:szCs w:val="32"/>
        </w:rPr>
      </w:pPr>
      <w:r>
        <w:rPr>
          <w:rFonts w:hint="eastAsia" w:ascii="Calibri" w:hAnsi="Calibri" w:eastAsia="仿宋" w:cs="Calibri"/>
          <w:kern w:val="0"/>
          <w:sz w:val="32"/>
          <w:szCs w:val="32"/>
        </w:rPr>
        <w:drawing>
          <wp:inline distT="0" distB="0" distL="114300" distR="114300">
            <wp:extent cx="5274310" cy="2423795"/>
            <wp:effectExtent l="0" t="0" r="2540" b="14605"/>
            <wp:docPr id="2" name="图片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1"/>
                    <pic:cNvPicPr>
                      <a:picLocks noChangeAspect="1"/>
                    </pic:cNvPicPr>
                  </pic:nvPicPr>
                  <pic:blipFill>
                    <a:blip r:embed="rId5"/>
                    <a:srcRect b="6737"/>
                    <a:stretch>
                      <a:fillRect/>
                    </a:stretch>
                  </pic:blipFill>
                  <pic:spPr>
                    <a:xfrm>
                      <a:off x="0" y="0"/>
                      <a:ext cx="5274310" cy="2423795"/>
                    </a:xfrm>
                    <a:prstGeom prst="rect">
                      <a:avLst/>
                    </a:prstGeom>
                  </pic:spPr>
                </pic:pic>
              </a:graphicData>
            </a:graphic>
          </wp:inline>
        </w:drawing>
      </w:r>
    </w:p>
    <w:p>
      <w:pPr>
        <w:widowControl/>
        <w:adjustRightInd w:val="0"/>
        <w:snapToGrid w:val="0"/>
        <w:spacing w:line="560" w:lineRule="atLeast"/>
        <w:jc w:val="center"/>
        <w:rPr>
          <w:rFonts w:ascii="Calibri" w:hAnsi="Calibri" w:eastAsia="仿宋" w:cs="Calibri"/>
          <w:kern w:val="0"/>
          <w:sz w:val="32"/>
          <w:szCs w:val="32"/>
        </w:rPr>
      </w:pPr>
      <w:r>
        <w:rPr>
          <w:rFonts w:hint="eastAsia" w:ascii="Calibri" w:hAnsi="Calibri" w:eastAsia="仿宋" w:cs="Calibri"/>
          <w:kern w:val="0"/>
          <w:sz w:val="32"/>
          <w:szCs w:val="32"/>
        </w:rPr>
        <w:t>图1 申报入口</w:t>
      </w:r>
    </w:p>
    <w:p>
      <w:pPr>
        <w:widowControl/>
        <w:numPr>
          <w:ilvl w:val="0"/>
          <w:numId w:val="1"/>
        </w:numPr>
        <w:adjustRightInd w:val="0"/>
        <w:snapToGrid w:val="0"/>
        <w:spacing w:line="560" w:lineRule="atLeast"/>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根据申报类型选择相应的申报入口；</w:t>
      </w:r>
    </w:p>
    <w:p>
      <w:pPr>
        <w:widowControl/>
        <w:adjustRightInd w:val="0"/>
        <w:snapToGrid w:val="0"/>
        <w:spacing w:line="560" w:lineRule="atLeast"/>
        <w:jc w:val="center"/>
        <w:rPr>
          <w:rFonts w:ascii="Calibri" w:hAnsi="Calibri" w:eastAsia="仿宋" w:cs="Calibri"/>
          <w:kern w:val="0"/>
          <w:sz w:val="32"/>
          <w:szCs w:val="32"/>
        </w:rPr>
      </w:pPr>
      <w:r>
        <w:drawing>
          <wp:inline distT="0" distB="0" distL="0" distR="0">
            <wp:extent cx="5202555" cy="1651000"/>
            <wp:effectExtent l="0" t="0" r="17145"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6"/>
                    <a:srcRect t="5866" r="1360" b="3888"/>
                    <a:stretch>
                      <a:fillRect/>
                    </a:stretch>
                  </pic:blipFill>
                  <pic:spPr>
                    <a:xfrm>
                      <a:off x="0" y="0"/>
                      <a:ext cx="5202555" cy="1651000"/>
                    </a:xfrm>
                    <a:prstGeom prst="rect">
                      <a:avLst/>
                    </a:prstGeom>
                  </pic:spPr>
                </pic:pic>
              </a:graphicData>
            </a:graphic>
          </wp:inline>
        </w:drawing>
      </w:r>
      <w:r>
        <w:rPr>
          <w:rFonts w:hint="eastAsia" w:ascii="Calibri" w:hAnsi="Calibri" w:eastAsia="仿宋" w:cs="Calibri"/>
          <w:kern w:val="0"/>
          <w:sz w:val="32"/>
          <w:szCs w:val="32"/>
        </w:rPr>
        <w:t>图2 申报类型选择</w:t>
      </w:r>
    </w:p>
    <w:p>
      <w:pPr>
        <w:widowControl/>
        <w:adjustRightInd w:val="0"/>
        <w:snapToGrid w:val="0"/>
        <w:spacing w:line="560" w:lineRule="atLeast"/>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（4）按照申报系统流程填写申报资料；</w:t>
      </w:r>
    </w:p>
    <w:p>
      <w:pPr>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（5）上级教育行政部门审核；</w:t>
      </w:r>
    </w:p>
    <w:p>
      <w:pPr>
        <w:ind w:firstLine="640" w:firstLineChars="200"/>
        <w:rPr>
          <w:rFonts w:ascii="Calibri" w:hAnsi="Calibri" w:eastAsia="仿宋" w:cs="Calibri"/>
          <w:kern w:val="0"/>
          <w:sz w:val="32"/>
          <w:szCs w:val="32"/>
        </w:rPr>
      </w:pPr>
      <w:r>
        <w:rPr>
          <w:rFonts w:hint="eastAsia" w:ascii="Calibri" w:hAnsi="Calibri" w:eastAsia="仿宋" w:cs="Calibri"/>
          <w:kern w:val="0"/>
          <w:sz w:val="32"/>
          <w:szCs w:val="32"/>
        </w:rPr>
        <w:t>（6）教育部综合评审认定。</w:t>
      </w:r>
    </w:p>
    <w:p>
      <w:pPr>
        <w:widowControl/>
        <w:adjustRightInd w:val="0"/>
        <w:snapToGrid w:val="0"/>
        <w:spacing w:line="560" w:lineRule="atLeast"/>
        <w:ind w:firstLine="643" w:firstLineChars="200"/>
        <w:rPr>
          <w:rFonts w:ascii="黑体" w:hAnsi="黑体" w:eastAsia="黑体" w:cs="黑体"/>
          <w:b/>
          <w:bCs/>
          <w:sz w:val="32"/>
          <w:szCs w:val="32"/>
        </w:rPr>
      </w:pPr>
      <w:r>
        <w:rPr>
          <w:rFonts w:hint="eastAsia" w:ascii="黑体" w:hAnsi="黑体" w:eastAsia="黑体" w:cs="黑体"/>
          <w:b/>
          <w:bCs/>
          <w:sz w:val="32"/>
          <w:szCs w:val="32"/>
        </w:rPr>
        <w:t>三、申报要求</w:t>
      </w:r>
    </w:p>
    <w:p>
      <w:pPr>
        <w:widowControl/>
        <w:adjustRightInd w:val="0"/>
        <w:snapToGrid w:val="0"/>
        <w:spacing w:line="560" w:lineRule="atLeast"/>
        <w:ind w:firstLine="640" w:firstLineChars="200"/>
        <w:rPr>
          <w:rFonts w:ascii="仿宋" w:hAnsi="仿宋" w:eastAsia="仿宋" w:cs="方正仿宋简体"/>
          <w:kern w:val="0"/>
          <w:sz w:val="32"/>
          <w:szCs w:val="32"/>
        </w:rPr>
      </w:pPr>
      <w:r>
        <w:rPr>
          <w:rFonts w:hint="eastAsia" w:ascii="仿宋" w:hAnsi="仿宋" w:eastAsia="仿宋"/>
          <w:sz w:val="32"/>
          <w:szCs w:val="32"/>
        </w:rPr>
        <w:t>（一）</w:t>
      </w:r>
      <w:r>
        <w:rPr>
          <w:rFonts w:hint="eastAsia" w:ascii="仿宋" w:hAnsi="仿宋" w:eastAsia="仿宋" w:cs="方正仿宋简体"/>
          <w:kern w:val="0"/>
          <w:sz w:val="32"/>
          <w:szCs w:val="32"/>
        </w:rPr>
        <w:t>各学校自主登录全国青少年校园足球</w:t>
      </w:r>
      <w:r>
        <w:rPr>
          <w:rFonts w:ascii="仿宋" w:hAnsi="仿宋" w:eastAsia="仿宋" w:cs="方正仿宋简体"/>
          <w:kern w:val="0"/>
          <w:sz w:val="32"/>
          <w:szCs w:val="32"/>
        </w:rPr>
        <w:t>管理信息</w:t>
      </w:r>
      <w:r>
        <w:rPr>
          <w:rFonts w:hint="eastAsia" w:ascii="仿宋" w:hAnsi="仿宋" w:eastAsia="仿宋" w:cs="方正仿宋简体"/>
          <w:kern w:val="0"/>
          <w:sz w:val="32"/>
          <w:szCs w:val="32"/>
        </w:rPr>
        <w:t>系统进行申报</w:t>
      </w:r>
      <w:r>
        <w:rPr>
          <w:rFonts w:ascii="仿宋" w:hAnsi="仿宋" w:eastAsia="仿宋" w:cs="方正仿宋简体"/>
          <w:kern w:val="0"/>
          <w:sz w:val="32"/>
          <w:szCs w:val="32"/>
        </w:rPr>
        <w:t>，</w:t>
      </w:r>
      <w:r>
        <w:rPr>
          <w:rFonts w:hint="eastAsia" w:ascii="仿宋" w:hAnsi="仿宋" w:eastAsia="仿宋" w:cs="方正仿宋简体"/>
          <w:kern w:val="0"/>
          <w:sz w:val="32"/>
          <w:szCs w:val="32"/>
        </w:rPr>
        <w:t>各地教育行政部门需对申报学校的材料进行审核。</w:t>
      </w:r>
    </w:p>
    <w:p>
      <w:pPr>
        <w:widowControl/>
        <w:adjustRightInd w:val="0"/>
        <w:snapToGrid w:val="0"/>
        <w:spacing w:line="560" w:lineRule="atLeast"/>
        <w:ind w:firstLine="640" w:firstLineChars="200"/>
        <w:rPr>
          <w:rFonts w:ascii="仿宋" w:hAnsi="仿宋" w:eastAsia="仿宋" w:cs="方正仿宋简体"/>
          <w:kern w:val="0"/>
          <w:sz w:val="32"/>
          <w:szCs w:val="32"/>
        </w:rPr>
      </w:pPr>
      <w:r>
        <w:rPr>
          <w:rFonts w:hint="eastAsia" w:ascii="仿宋" w:hAnsi="仿宋" w:eastAsia="仿宋" w:cs="方正仿宋简体"/>
          <w:kern w:val="0"/>
          <w:sz w:val="32"/>
          <w:szCs w:val="32"/>
        </w:rPr>
        <w:t>（二）</w:t>
      </w:r>
      <w:r>
        <w:rPr>
          <w:rFonts w:hint="eastAsia" w:ascii="仿宋" w:hAnsi="仿宋" w:eastAsia="仿宋"/>
          <w:sz w:val="32"/>
          <w:szCs w:val="32"/>
        </w:rPr>
        <w:t>试点县（区）</w:t>
      </w:r>
      <w:r>
        <w:rPr>
          <w:rFonts w:ascii="仿宋" w:hAnsi="仿宋" w:eastAsia="仿宋" w:cs="方正仿宋简体"/>
          <w:kern w:val="0"/>
          <w:sz w:val="32"/>
          <w:szCs w:val="32"/>
        </w:rPr>
        <w:t>申报</w:t>
      </w:r>
      <w:r>
        <w:rPr>
          <w:rFonts w:hint="eastAsia" w:ascii="仿宋" w:hAnsi="仿宋" w:eastAsia="仿宋" w:cs="方正仿宋简体"/>
          <w:kern w:val="0"/>
          <w:sz w:val="32"/>
          <w:szCs w:val="32"/>
        </w:rPr>
        <w:t>需</w:t>
      </w:r>
      <w:r>
        <w:rPr>
          <w:rFonts w:ascii="仿宋" w:hAnsi="仿宋" w:eastAsia="仿宋" w:cs="方正仿宋简体"/>
          <w:kern w:val="0"/>
          <w:sz w:val="32"/>
          <w:szCs w:val="32"/>
        </w:rPr>
        <w:t>由各</w:t>
      </w:r>
      <w:r>
        <w:rPr>
          <w:rFonts w:hint="eastAsia" w:ascii="仿宋" w:hAnsi="仿宋" w:eastAsia="仿宋" w:cs="方正仿宋简体"/>
          <w:kern w:val="0"/>
          <w:sz w:val="32"/>
          <w:szCs w:val="32"/>
        </w:rPr>
        <w:t>县</w:t>
      </w:r>
      <w:r>
        <w:rPr>
          <w:rFonts w:ascii="仿宋" w:hAnsi="仿宋" w:eastAsia="仿宋" w:cs="方正仿宋简体"/>
          <w:kern w:val="0"/>
          <w:sz w:val="32"/>
          <w:szCs w:val="32"/>
        </w:rPr>
        <w:t>（</w:t>
      </w:r>
      <w:r>
        <w:rPr>
          <w:rFonts w:hint="eastAsia" w:ascii="仿宋" w:hAnsi="仿宋" w:eastAsia="仿宋" w:cs="方正仿宋简体"/>
          <w:kern w:val="0"/>
          <w:sz w:val="32"/>
          <w:szCs w:val="32"/>
        </w:rPr>
        <w:t>区</w:t>
      </w:r>
      <w:r>
        <w:rPr>
          <w:rFonts w:ascii="仿宋" w:hAnsi="仿宋" w:eastAsia="仿宋" w:cs="方正仿宋简体"/>
          <w:kern w:val="0"/>
          <w:sz w:val="32"/>
          <w:szCs w:val="32"/>
        </w:rPr>
        <w:t>）</w:t>
      </w:r>
      <w:r>
        <w:rPr>
          <w:rFonts w:hint="eastAsia" w:ascii="仿宋" w:hAnsi="仿宋" w:eastAsia="仿宋" w:cs="方正仿宋简体"/>
          <w:kern w:val="0"/>
          <w:sz w:val="32"/>
          <w:szCs w:val="32"/>
        </w:rPr>
        <w:t>登录</w:t>
      </w:r>
      <w:r>
        <w:rPr>
          <w:rFonts w:ascii="仿宋" w:hAnsi="仿宋" w:eastAsia="仿宋" w:cs="方正仿宋简体"/>
          <w:kern w:val="0"/>
          <w:sz w:val="32"/>
          <w:szCs w:val="32"/>
        </w:rPr>
        <w:t>系统</w:t>
      </w:r>
      <w:r>
        <w:rPr>
          <w:rFonts w:hint="eastAsia" w:ascii="仿宋" w:hAnsi="仿宋" w:eastAsia="仿宋" w:cs="方正仿宋简体"/>
          <w:kern w:val="0"/>
          <w:sz w:val="32"/>
          <w:szCs w:val="32"/>
        </w:rPr>
        <w:t>进行</w:t>
      </w:r>
      <w:r>
        <w:rPr>
          <w:rFonts w:ascii="仿宋" w:hAnsi="仿宋" w:eastAsia="仿宋" w:cs="方正仿宋简体"/>
          <w:kern w:val="0"/>
          <w:sz w:val="32"/>
          <w:szCs w:val="32"/>
        </w:rPr>
        <w:t>申</w:t>
      </w:r>
      <w:r>
        <w:rPr>
          <w:rFonts w:hint="eastAsia" w:ascii="仿宋" w:hAnsi="仿宋" w:eastAsia="仿宋" w:cs="方正仿宋简体"/>
          <w:kern w:val="0"/>
          <w:sz w:val="32"/>
          <w:szCs w:val="32"/>
        </w:rPr>
        <w:t>报，并逐级审核报送至教育部</w:t>
      </w:r>
      <w:r>
        <w:rPr>
          <w:rFonts w:ascii="仿宋" w:hAnsi="仿宋" w:eastAsia="仿宋" w:cs="方正仿宋简体"/>
          <w:kern w:val="0"/>
          <w:sz w:val="32"/>
          <w:szCs w:val="32"/>
        </w:rPr>
        <w:t>。</w:t>
      </w:r>
    </w:p>
    <w:p>
      <w:pPr>
        <w:widowControl/>
        <w:adjustRightInd w:val="0"/>
        <w:snapToGrid w:val="0"/>
        <w:spacing w:line="560" w:lineRule="atLeast"/>
        <w:ind w:firstLine="640" w:firstLineChars="200"/>
      </w:pPr>
      <w:r>
        <w:rPr>
          <w:rFonts w:hint="eastAsia" w:ascii="仿宋" w:hAnsi="仿宋" w:eastAsia="仿宋" w:cs="方正仿宋简体"/>
          <w:kern w:val="0"/>
          <w:sz w:val="32"/>
          <w:szCs w:val="32"/>
        </w:rPr>
        <w:t>（三）申报</w:t>
      </w:r>
      <w:r>
        <w:rPr>
          <w:rFonts w:ascii="仿宋" w:hAnsi="仿宋" w:eastAsia="仿宋" w:cs="方正仿宋简体"/>
          <w:kern w:val="0"/>
          <w:sz w:val="32"/>
          <w:szCs w:val="32"/>
        </w:rPr>
        <w:t>过程</w:t>
      </w:r>
      <w:r>
        <w:rPr>
          <w:rFonts w:hint="eastAsia" w:ascii="仿宋" w:hAnsi="仿宋" w:eastAsia="仿宋" w:cs="方正仿宋简体"/>
          <w:kern w:val="0"/>
          <w:sz w:val="32"/>
          <w:szCs w:val="32"/>
        </w:rPr>
        <w:t>中遇到问题，请参考网站首页的“常见问题”，</w:t>
      </w:r>
      <w:r>
        <w:rPr>
          <w:rFonts w:ascii="仿宋" w:hAnsi="仿宋" w:eastAsia="仿宋" w:cs="方正仿宋简体"/>
          <w:kern w:val="0"/>
          <w:sz w:val="32"/>
          <w:szCs w:val="32"/>
        </w:rPr>
        <w:t>如无法解决请拨打技术</w:t>
      </w:r>
      <w:r>
        <w:rPr>
          <w:rFonts w:hint="eastAsia" w:ascii="仿宋" w:hAnsi="仿宋" w:eastAsia="仿宋" w:cs="方正仿宋简体"/>
          <w:kern w:val="0"/>
          <w:sz w:val="32"/>
          <w:szCs w:val="32"/>
        </w:rPr>
        <w:t>咨询</w:t>
      </w:r>
      <w:r>
        <w:rPr>
          <w:rFonts w:ascii="仿宋" w:hAnsi="仿宋" w:eastAsia="仿宋" w:cs="方正仿宋简体"/>
          <w:kern w:val="0"/>
          <w:sz w:val="32"/>
          <w:szCs w:val="32"/>
        </w:rPr>
        <w:t>电话</w:t>
      </w:r>
      <w:r>
        <w:rPr>
          <w:rFonts w:hint="eastAsia" w:ascii="仿宋" w:hAnsi="仿宋" w:eastAsia="仿宋" w:cs="方正仿宋简体"/>
          <w:kern w:val="0"/>
          <w:sz w:val="32"/>
          <w:szCs w:val="32"/>
        </w:rPr>
        <w:t>咨询：010</w:t>
      </w:r>
      <w:r>
        <w:rPr>
          <w:rFonts w:ascii="仿宋" w:hAnsi="仿宋" w:eastAsia="仿宋" w:cs="方正仿宋简体"/>
          <w:kern w:val="0"/>
          <w:sz w:val="32"/>
          <w:szCs w:val="32"/>
        </w:rPr>
        <w:t>-66090906</w:t>
      </w:r>
      <w:r>
        <w:rPr>
          <w:rFonts w:hint="eastAsia" w:ascii="仿宋" w:hAnsi="仿宋" w:eastAsia="仿宋" w:cs="方正仿宋简体"/>
          <w:kern w:val="0"/>
          <w:sz w:val="32"/>
          <w:szCs w:val="32"/>
        </w:rPr>
        <w:t xml:space="preserve">。 </w:t>
      </w: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hint="eastAsia" w:ascii="仿宋" w:hAnsi="仿宋" w:eastAsia="仿宋"/>
          <w:sz w:val="32"/>
          <w:szCs w:val="32"/>
        </w:rPr>
      </w:pPr>
    </w:p>
    <w:p>
      <w:pPr>
        <w:adjustRightInd w:val="0"/>
        <w:snapToGrid w:val="0"/>
        <w:spacing w:line="360" w:lineRule="auto"/>
        <w:rPr>
          <w:rFonts w:ascii="仿宋" w:hAnsi="仿宋" w:eastAsia="仿宋"/>
          <w:sz w:val="32"/>
          <w:szCs w:val="32"/>
        </w:rPr>
        <w:sectPr>
          <w:pgSz w:w="11906" w:h="16838"/>
          <w:pgMar w:top="2098" w:right="1474" w:bottom="1984" w:left="1587" w:header="851" w:footer="992" w:gutter="0"/>
          <w:cols w:space="425" w:num="1"/>
          <w:docGrid w:type="lines" w:linePitch="312" w:charSpace="0"/>
        </w:sectPr>
      </w:pPr>
    </w:p>
    <w:p>
      <w:pPr>
        <w:spacing w:line="540" w:lineRule="exact"/>
        <w:rPr>
          <w:rFonts w:ascii="黑体" w:hAnsi="宋体" w:eastAsia="黑体"/>
          <w:sz w:val="32"/>
          <w:szCs w:val="32"/>
        </w:rPr>
      </w:pPr>
      <w:r>
        <w:rPr>
          <w:rFonts w:hint="eastAsia" w:ascii="黑体" w:hAnsi="宋体" w:eastAsia="黑体"/>
          <w:sz w:val="32"/>
          <w:szCs w:val="32"/>
        </w:rPr>
        <w:t>附件3</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全国青少年校园足球特色学校申报汇总表</w:t>
      </w:r>
    </w:p>
    <w:p>
      <w:pPr>
        <w:spacing w:line="540" w:lineRule="exact"/>
        <w:rPr>
          <w:rFonts w:ascii="仿宋" w:hAnsi="仿宋" w:eastAsia="仿宋"/>
          <w:sz w:val="24"/>
        </w:rPr>
      </w:pPr>
    </w:p>
    <w:p>
      <w:pPr>
        <w:spacing w:line="540" w:lineRule="exact"/>
        <w:rPr>
          <w:rFonts w:ascii="仿宋" w:hAnsi="仿宋" w:eastAsia="仿宋"/>
          <w:sz w:val="24"/>
        </w:rPr>
      </w:pPr>
      <w:r>
        <w:rPr>
          <w:rFonts w:hint="eastAsia" w:ascii="仿宋" w:hAnsi="仿宋" w:eastAsia="仿宋"/>
          <w:sz w:val="24"/>
        </w:rPr>
        <w:t xml:space="preserve">省级教育行政部门盖章： 报送负责人：       联系电话：    </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808"/>
        <w:gridCol w:w="1205"/>
        <w:gridCol w:w="1505"/>
        <w:gridCol w:w="3025"/>
        <w:gridCol w:w="1253"/>
        <w:gridCol w:w="1381"/>
        <w:gridCol w:w="163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5"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序号</w:t>
            </w:r>
          </w:p>
        </w:tc>
        <w:tc>
          <w:tcPr>
            <w:tcW w:w="638"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学校名称</w:t>
            </w:r>
          </w:p>
        </w:tc>
        <w:tc>
          <w:tcPr>
            <w:tcW w:w="425"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学校代码</w:t>
            </w:r>
          </w:p>
        </w:tc>
        <w:tc>
          <w:tcPr>
            <w:tcW w:w="531"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学校类别</w:t>
            </w:r>
          </w:p>
        </w:tc>
        <w:tc>
          <w:tcPr>
            <w:tcW w:w="1067"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详细地址</w:t>
            </w:r>
          </w:p>
        </w:tc>
        <w:tc>
          <w:tcPr>
            <w:tcW w:w="442"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联系人</w:t>
            </w:r>
          </w:p>
        </w:tc>
        <w:tc>
          <w:tcPr>
            <w:tcW w:w="487"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联系电话</w:t>
            </w:r>
          </w:p>
        </w:tc>
        <w:tc>
          <w:tcPr>
            <w:tcW w:w="576"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sz w:val="24"/>
                <w:szCs w:val="24"/>
              </w:rPr>
              <w:t>所属市</w:t>
            </w:r>
          </w:p>
        </w:tc>
        <w:tc>
          <w:tcPr>
            <w:tcW w:w="576" w:type="pct"/>
            <w:tcBorders>
              <w:bottom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sz w:val="24"/>
                <w:szCs w:val="24"/>
              </w:rPr>
              <w:t>所属县（区）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5" w:type="pc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1</w:t>
            </w:r>
          </w:p>
        </w:tc>
        <w:tc>
          <w:tcPr>
            <w:tcW w:w="638"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25" w:type="pct"/>
            <w:tcBorders>
              <w:top w:val="single" w:color="auto" w:sz="4" w:space="0"/>
              <w:left w:val="single" w:color="auto" w:sz="4" w:space="0"/>
              <w:bottom w:val="single" w:color="auto" w:sz="4" w:space="0"/>
              <w:right w:val="single" w:color="auto" w:sz="4" w:space="0"/>
            </w:tcBorders>
          </w:tcPr>
          <w:p>
            <w:pPr>
              <w:spacing w:line="480" w:lineRule="auto"/>
              <w:rPr>
                <w:rFonts w:ascii="仿宋" w:hAnsi="仿宋" w:eastAsia="仿宋" w:cs="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106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42"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8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5" w:type="pc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2</w:t>
            </w:r>
          </w:p>
        </w:tc>
        <w:tc>
          <w:tcPr>
            <w:tcW w:w="638"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25" w:type="pct"/>
            <w:tcBorders>
              <w:top w:val="single" w:color="auto" w:sz="4" w:space="0"/>
              <w:left w:val="single" w:color="auto" w:sz="4" w:space="0"/>
              <w:bottom w:val="single" w:color="auto" w:sz="4" w:space="0"/>
              <w:right w:val="single" w:color="auto" w:sz="4" w:space="0"/>
            </w:tcBorders>
          </w:tcPr>
          <w:p>
            <w:pPr>
              <w:spacing w:line="480" w:lineRule="auto"/>
              <w:rPr>
                <w:rFonts w:ascii="仿宋" w:hAnsi="仿宋" w:eastAsia="仿宋" w:cs="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106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42"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8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5" w:type="pc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3</w:t>
            </w:r>
          </w:p>
        </w:tc>
        <w:tc>
          <w:tcPr>
            <w:tcW w:w="638"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25" w:type="pct"/>
            <w:tcBorders>
              <w:top w:val="single" w:color="auto" w:sz="4" w:space="0"/>
              <w:left w:val="single" w:color="auto" w:sz="4" w:space="0"/>
              <w:bottom w:val="single" w:color="auto" w:sz="4" w:space="0"/>
              <w:right w:val="single" w:color="auto" w:sz="4" w:space="0"/>
            </w:tcBorders>
          </w:tcPr>
          <w:p>
            <w:pPr>
              <w:spacing w:line="480" w:lineRule="auto"/>
              <w:rPr>
                <w:rFonts w:ascii="仿宋" w:hAnsi="仿宋" w:eastAsia="仿宋" w:cs="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106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42"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8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5" w:type="pc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s="仿宋"/>
                <w:sz w:val="24"/>
              </w:rPr>
            </w:pPr>
            <w:r>
              <w:rPr>
                <w:rFonts w:hint="eastAsia" w:ascii="仿宋" w:hAnsi="仿宋" w:eastAsia="仿宋" w:cs="仿宋"/>
                <w:sz w:val="24"/>
              </w:rPr>
              <w:t>4</w:t>
            </w:r>
          </w:p>
        </w:tc>
        <w:tc>
          <w:tcPr>
            <w:tcW w:w="638"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25" w:type="pct"/>
            <w:tcBorders>
              <w:top w:val="single" w:color="auto" w:sz="4" w:space="0"/>
              <w:left w:val="single" w:color="auto" w:sz="4" w:space="0"/>
              <w:bottom w:val="single" w:color="auto" w:sz="4" w:space="0"/>
              <w:right w:val="single" w:color="auto" w:sz="4" w:space="0"/>
            </w:tcBorders>
          </w:tcPr>
          <w:p>
            <w:pPr>
              <w:spacing w:line="480" w:lineRule="auto"/>
              <w:rPr>
                <w:rFonts w:ascii="仿宋" w:hAnsi="仿宋" w:eastAsia="仿宋" w:cs="仿宋"/>
                <w:sz w:val="24"/>
              </w:rPr>
            </w:pPr>
          </w:p>
        </w:tc>
        <w:tc>
          <w:tcPr>
            <w:tcW w:w="531"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106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42"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487"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cs="仿宋"/>
                <w:sz w:val="24"/>
              </w:rPr>
            </w:pPr>
          </w:p>
        </w:tc>
      </w:tr>
    </w:tbl>
    <w:p>
      <w:pPr>
        <w:adjustRightInd w:val="0"/>
        <w:snapToGrid w:val="0"/>
        <w:spacing w:line="540" w:lineRule="exact"/>
        <w:ind w:firstLine="120" w:firstLineChars="50"/>
        <w:rPr>
          <w:rFonts w:ascii="仿宋" w:hAnsi="仿宋" w:eastAsia="仿宋" w:cs="仿宋_GB2312"/>
          <w:color w:val="000000"/>
          <w:kern w:val="0"/>
          <w:sz w:val="24"/>
        </w:rPr>
      </w:pPr>
      <w:r>
        <w:rPr>
          <w:rFonts w:hint="eastAsia" w:ascii="仿宋" w:hAnsi="仿宋" w:eastAsia="仿宋"/>
          <w:sz w:val="24"/>
        </w:rPr>
        <w:t>注：学校类别可按“A</w:t>
      </w:r>
      <w:r>
        <w:rPr>
          <w:rFonts w:hint="eastAsia" w:ascii="仿宋" w:hAnsi="仿宋" w:eastAsia="仿宋" w:cs="仿宋_GB2312"/>
          <w:color w:val="000000"/>
          <w:kern w:val="0"/>
          <w:sz w:val="24"/>
        </w:rPr>
        <w:t>小学，B初中，C高中，D完全中学，E 九年一贯制学校，F 十二年一贯制学校，G民办学校”填写。</w:t>
      </w:r>
    </w:p>
    <w:p>
      <w:pPr>
        <w:rPr>
          <w:rFonts w:ascii="仿宋" w:hAnsi="仿宋" w:eastAsia="仿宋" w:cs="仿宋_GB2312"/>
          <w:color w:val="000000"/>
          <w:kern w:val="0"/>
          <w:sz w:val="24"/>
        </w:rPr>
      </w:pPr>
      <w:r>
        <w:rPr>
          <w:rFonts w:hint="eastAsia" w:ascii="仿宋" w:hAnsi="仿宋" w:eastAsia="仿宋" w:cs="仿宋_GB2312"/>
          <w:color w:val="000000"/>
          <w:kern w:val="0"/>
          <w:sz w:val="24"/>
        </w:rPr>
        <w:t>民办学校可多选填写类别。</w:t>
      </w:r>
    </w:p>
    <w:p>
      <w:pPr>
        <w:rPr>
          <w:rFonts w:ascii="仿宋" w:hAnsi="仿宋" w:eastAsia="仿宋"/>
          <w:sz w:val="24"/>
        </w:rPr>
      </w:pPr>
    </w:p>
    <w:p>
      <w:pPr>
        <w:adjustRightInd w:val="0"/>
        <w:snapToGrid w:val="0"/>
        <w:spacing w:line="360" w:lineRule="auto"/>
        <w:rPr>
          <w:rFonts w:hint="eastAsia" w:ascii="仿宋" w:hAnsi="仿宋" w:eastAsia="仿宋"/>
          <w:sz w:val="32"/>
          <w:szCs w:val="32"/>
        </w:rPr>
      </w:pPr>
    </w:p>
    <w:p>
      <w:pPr>
        <w:spacing w:line="540" w:lineRule="exact"/>
        <w:rPr>
          <w:rFonts w:ascii="方正小标宋简体" w:hAnsi="仿宋" w:eastAsia="黑体"/>
          <w:sz w:val="44"/>
          <w:szCs w:val="44"/>
        </w:rPr>
      </w:pPr>
      <w:r>
        <w:rPr>
          <w:rFonts w:hint="eastAsia" w:ascii="黑体" w:hAnsi="宋体" w:eastAsia="黑体"/>
          <w:sz w:val="32"/>
          <w:szCs w:val="32"/>
        </w:rPr>
        <w:t>附件4</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全国青少年校园足球试点县（区）和“满天星”训练营</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申报汇总表</w:t>
      </w:r>
    </w:p>
    <w:p>
      <w:pPr>
        <w:rPr>
          <w:rFonts w:ascii="黑体" w:hAnsi="黑体" w:eastAsia="黑体"/>
          <w:sz w:val="32"/>
          <w:szCs w:val="32"/>
        </w:rPr>
      </w:pPr>
    </w:p>
    <w:p>
      <w:pPr>
        <w:rPr>
          <w:rFonts w:ascii="黑体" w:hAnsi="黑体" w:eastAsia="黑体"/>
          <w:sz w:val="32"/>
          <w:szCs w:val="32"/>
        </w:rPr>
      </w:pPr>
      <w:r>
        <w:rPr>
          <w:rFonts w:hint="eastAsia" w:ascii="仿宋" w:hAnsi="仿宋" w:eastAsia="仿宋"/>
          <w:sz w:val="24"/>
        </w:rPr>
        <w:t xml:space="preserve">省级教育行政部门盖章： 报送负责人：       联系电话：  </w:t>
      </w:r>
    </w:p>
    <w:tbl>
      <w:tblPr>
        <w:tblStyle w:val="8"/>
        <w:tblW w:w="499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8"/>
        <w:gridCol w:w="2072"/>
        <w:gridCol w:w="2069"/>
        <w:gridCol w:w="2001"/>
        <w:gridCol w:w="2035"/>
        <w:gridCol w:w="2611"/>
        <w:gridCol w:w="25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299" w:type="pct"/>
          </w:tcPr>
          <w:p>
            <w:pPr>
              <w:spacing w:line="480" w:lineRule="auto"/>
              <w:rPr>
                <w:rFonts w:ascii="仿宋" w:hAnsi="仿宋" w:eastAsia="仿宋"/>
                <w:kern w:val="0"/>
                <w:sz w:val="24"/>
                <w:szCs w:val="24"/>
              </w:rPr>
            </w:pPr>
            <w:r>
              <w:rPr>
                <w:rFonts w:hint="eastAsia" w:ascii="仿宋" w:hAnsi="仿宋" w:eastAsia="仿宋"/>
                <w:kern w:val="0"/>
                <w:sz w:val="24"/>
                <w:szCs w:val="24"/>
              </w:rPr>
              <w:t>序号</w:t>
            </w:r>
          </w:p>
        </w:tc>
        <w:tc>
          <w:tcPr>
            <w:tcW w:w="731"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单位名称</w:t>
            </w:r>
          </w:p>
        </w:tc>
        <w:tc>
          <w:tcPr>
            <w:tcW w:w="730"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申报类别</w:t>
            </w:r>
          </w:p>
        </w:tc>
        <w:tc>
          <w:tcPr>
            <w:tcW w:w="706"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联系人</w:t>
            </w:r>
          </w:p>
        </w:tc>
        <w:tc>
          <w:tcPr>
            <w:tcW w:w="718"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联系电话</w:t>
            </w:r>
          </w:p>
        </w:tc>
        <w:tc>
          <w:tcPr>
            <w:tcW w:w="921"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所属市</w:t>
            </w:r>
          </w:p>
        </w:tc>
        <w:tc>
          <w:tcPr>
            <w:tcW w:w="891"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所属县（区）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299"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1</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299"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2</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99" w:type="pct"/>
          </w:tcPr>
          <w:p>
            <w:pPr>
              <w:spacing w:line="480" w:lineRule="auto"/>
              <w:jc w:val="center"/>
              <w:rPr>
                <w:kern w:val="0"/>
                <w:sz w:val="20"/>
                <w:szCs w:val="20"/>
              </w:rPr>
            </w:pPr>
            <w:r>
              <w:rPr>
                <w:rFonts w:hint="eastAsia" w:ascii="仿宋" w:hAnsi="仿宋" w:eastAsia="仿宋"/>
                <w:kern w:val="0"/>
                <w:sz w:val="24"/>
                <w:szCs w:val="24"/>
              </w:rPr>
              <w:t>3</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99"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4</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99"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5</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99" w:type="pct"/>
          </w:tcPr>
          <w:p>
            <w:pPr>
              <w:spacing w:line="480" w:lineRule="auto"/>
              <w:jc w:val="center"/>
              <w:rPr>
                <w:rFonts w:ascii="仿宋" w:hAnsi="仿宋" w:eastAsia="仿宋"/>
                <w:kern w:val="0"/>
                <w:sz w:val="24"/>
                <w:szCs w:val="24"/>
              </w:rPr>
            </w:pPr>
            <w:r>
              <w:rPr>
                <w:rFonts w:hint="eastAsia" w:ascii="仿宋" w:hAnsi="仿宋" w:eastAsia="仿宋"/>
                <w:kern w:val="0"/>
                <w:sz w:val="24"/>
                <w:szCs w:val="24"/>
              </w:rPr>
              <w:t>6</w:t>
            </w:r>
          </w:p>
        </w:tc>
        <w:tc>
          <w:tcPr>
            <w:tcW w:w="731" w:type="pct"/>
          </w:tcPr>
          <w:p>
            <w:pPr>
              <w:spacing w:line="480" w:lineRule="auto"/>
              <w:rPr>
                <w:rFonts w:ascii="仿宋" w:hAnsi="仿宋" w:eastAsia="仿宋"/>
                <w:kern w:val="0"/>
                <w:sz w:val="24"/>
                <w:szCs w:val="24"/>
              </w:rPr>
            </w:pPr>
          </w:p>
        </w:tc>
        <w:tc>
          <w:tcPr>
            <w:tcW w:w="730" w:type="pct"/>
          </w:tcPr>
          <w:p>
            <w:pPr>
              <w:spacing w:line="480" w:lineRule="auto"/>
              <w:rPr>
                <w:rFonts w:ascii="仿宋" w:hAnsi="仿宋" w:eastAsia="仿宋"/>
                <w:kern w:val="0"/>
                <w:sz w:val="24"/>
                <w:szCs w:val="24"/>
              </w:rPr>
            </w:pPr>
          </w:p>
        </w:tc>
        <w:tc>
          <w:tcPr>
            <w:tcW w:w="706" w:type="pct"/>
          </w:tcPr>
          <w:p>
            <w:pPr>
              <w:spacing w:line="480" w:lineRule="auto"/>
              <w:rPr>
                <w:rFonts w:ascii="仿宋" w:hAnsi="仿宋" w:eastAsia="仿宋"/>
                <w:kern w:val="0"/>
                <w:sz w:val="24"/>
                <w:szCs w:val="24"/>
              </w:rPr>
            </w:pPr>
          </w:p>
        </w:tc>
        <w:tc>
          <w:tcPr>
            <w:tcW w:w="718" w:type="pct"/>
          </w:tcPr>
          <w:p>
            <w:pPr>
              <w:spacing w:line="480" w:lineRule="auto"/>
              <w:rPr>
                <w:rFonts w:ascii="仿宋" w:hAnsi="仿宋" w:eastAsia="仿宋"/>
                <w:kern w:val="0"/>
                <w:sz w:val="24"/>
                <w:szCs w:val="24"/>
              </w:rPr>
            </w:pPr>
          </w:p>
        </w:tc>
        <w:tc>
          <w:tcPr>
            <w:tcW w:w="921" w:type="pct"/>
          </w:tcPr>
          <w:p>
            <w:pPr>
              <w:spacing w:line="480" w:lineRule="auto"/>
              <w:rPr>
                <w:rFonts w:ascii="仿宋" w:hAnsi="仿宋" w:eastAsia="仿宋"/>
                <w:kern w:val="0"/>
                <w:sz w:val="24"/>
                <w:szCs w:val="24"/>
              </w:rPr>
            </w:pPr>
          </w:p>
        </w:tc>
        <w:tc>
          <w:tcPr>
            <w:tcW w:w="891" w:type="pct"/>
          </w:tcPr>
          <w:p>
            <w:pPr>
              <w:spacing w:line="480" w:lineRule="auto"/>
              <w:rPr>
                <w:rFonts w:ascii="仿宋" w:hAnsi="仿宋" w:eastAsia="仿宋"/>
                <w:kern w:val="0"/>
                <w:sz w:val="24"/>
                <w:szCs w:val="24"/>
              </w:rPr>
            </w:pPr>
          </w:p>
        </w:tc>
      </w:tr>
    </w:tbl>
    <w:p>
      <w:pPr>
        <w:adjustRightInd w:val="0"/>
        <w:snapToGrid w:val="0"/>
        <w:spacing w:line="540" w:lineRule="exact"/>
        <w:ind w:firstLine="120" w:firstLineChars="50"/>
        <w:rPr>
          <w:rFonts w:ascii="仿宋" w:hAnsi="仿宋" w:eastAsia="仿宋"/>
          <w:sz w:val="24"/>
        </w:rPr>
      </w:pPr>
      <w:r>
        <w:rPr>
          <w:rFonts w:hint="eastAsia" w:ascii="仿宋" w:hAnsi="仿宋" w:eastAsia="仿宋"/>
          <w:sz w:val="24"/>
        </w:rPr>
        <w:t>注：申报类别可按“试点县（区）、‘满天星’训练营”填写。</w:t>
      </w:r>
    </w:p>
    <w:p>
      <w:pPr>
        <w:adjustRightInd w:val="0"/>
        <w:snapToGrid w:val="0"/>
        <w:spacing w:line="360" w:lineRule="auto"/>
        <w:rPr>
          <w:rFonts w:ascii="仿宋" w:hAnsi="仿宋" w:eastAsia="仿宋"/>
          <w:sz w:val="32"/>
          <w:szCs w:val="32"/>
        </w:rPr>
      </w:pPr>
    </w:p>
    <w:sectPr>
      <w:footerReference r:id="rId3" w:type="default"/>
      <w:pgSz w:w="16838" w:h="11906" w:orient="landscape"/>
      <w:pgMar w:top="1800" w:right="1440" w:bottom="1800" w:left="144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77D99C"/>
    <w:multiLevelType w:val="singleLevel"/>
    <w:tmpl w:val="7B77D99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5A9D"/>
    <w:rsid w:val="0024633C"/>
    <w:rsid w:val="00355A9D"/>
    <w:rsid w:val="004651A0"/>
    <w:rsid w:val="005144C1"/>
    <w:rsid w:val="006F19AB"/>
    <w:rsid w:val="00782BF2"/>
    <w:rsid w:val="00840A49"/>
    <w:rsid w:val="0084340F"/>
    <w:rsid w:val="00941132"/>
    <w:rsid w:val="00950065"/>
    <w:rsid w:val="00A943AC"/>
    <w:rsid w:val="00AD39BC"/>
    <w:rsid w:val="00D46084"/>
    <w:rsid w:val="32184534"/>
    <w:rsid w:val="3A55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标题 2 Char"/>
    <w:basedOn w:val="9"/>
    <w:link w:val="2"/>
    <w:qFormat/>
    <w:uiPriority w:val="9"/>
    <w:rPr>
      <w:rFonts w:ascii="宋体" w:hAnsi="宋体" w:eastAsia="宋体" w:cs="宋体"/>
      <w:b/>
      <w:bCs/>
      <w:kern w:val="0"/>
      <w:sz w:val="36"/>
      <w:szCs w:val="36"/>
    </w:rPr>
  </w:style>
  <w:style w:type="paragraph" w:customStyle="1" w:styleId="14">
    <w:name w:val="_Style 3"/>
    <w:basedOn w:val="1"/>
    <w:qFormat/>
    <w:uiPriority w:val="34"/>
    <w:pPr>
      <w:ind w:firstLine="420" w:firstLineChars="200"/>
    </w:pPr>
    <w:rPr>
      <w:rFonts w:ascii="Calibri" w:hAnsi="Calibri" w:eastAsia="宋体" w:cs="Times New Roman"/>
      <w:szCs w:val="24"/>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895</Words>
  <Characters>5107</Characters>
  <Lines>42</Lines>
  <Paragraphs>11</Paragraphs>
  <TotalTime>206</TotalTime>
  <ScaleCrop>false</ScaleCrop>
  <LinksUpToDate>false</LinksUpToDate>
  <CharactersWithSpaces>5991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2021-08-08T01:40:00Z</dcterms:created>
  <dc:creator>苏亮</dc:creator>
  <cp:lastModifiedBy>Administrator</cp:lastModifiedBy>
  <dcterms:modified xsi:type="dcterms:W3CDTF">2021-08-17T01:15:33Z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55F0685C31C0418AA4C103CDE74D4FA1</vt:lpwstr>
  </property>
</Properties>
</file>