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80" w:lineRule="exact"/>
        <w:jc w:val="center"/>
        <w:textAlignment w:val="auto"/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  <w:t>平顶山市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2021年庆“双节”全民健身活动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br w:type="textWrapping"/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  <w:t>教体系统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系列竞赛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  <w:t>总规程</w:t>
      </w:r>
    </w:p>
    <w:p>
      <w:pPr>
        <w:pStyle w:val="6"/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00" w:lineRule="exact"/>
        <w:jc w:val="center"/>
        <w:textAlignment w:val="auto"/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</w:pPr>
    </w:p>
    <w:p>
      <w:pPr>
        <w:pStyle w:val="6"/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主办单位：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平顶山市教育体育局</w:t>
      </w:r>
    </w:p>
    <w:p>
      <w:pPr>
        <w:pStyle w:val="6"/>
        <w:numPr>
          <w:ilvl w:val="0"/>
          <w:numId w:val="0"/>
        </w:numPr>
        <w:spacing w:line="600" w:lineRule="exact"/>
        <w:ind w:left="0" w:leftChars="0" w:firstLine="1257" w:firstLineChars="393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承办单位：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相关县（市、区）、局属相关学校</w:t>
      </w:r>
    </w:p>
    <w:p>
      <w:pPr>
        <w:pStyle w:val="6"/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sz w:val="32"/>
          <w:szCs w:val="32"/>
        </w:rPr>
        <w:t>、竞赛日期和地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点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属单位组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举办地点见各单项规程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</w:rPr>
        <w:t>组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月，在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县（市、区）单位</w:t>
      </w:r>
      <w:r>
        <w:rPr>
          <w:rFonts w:hint="eastAsia" w:ascii="仿宋_GB2312" w:hAnsi="宋体" w:eastAsia="仿宋_GB2312" w:cs="宋体"/>
          <w:sz w:val="32"/>
          <w:szCs w:val="32"/>
        </w:rPr>
        <w:t>举行。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竞</w:t>
      </w:r>
      <w:r>
        <w:rPr>
          <w:rFonts w:hint="eastAsia" w:ascii="黑体" w:hAnsi="黑体" w:eastAsia="黑体" w:cs="宋体"/>
          <w:sz w:val="32"/>
          <w:szCs w:val="32"/>
        </w:rPr>
        <w:t>赛项目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篮球、乒乓球、羽毛球、气排球。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sz w:val="32"/>
          <w:szCs w:val="32"/>
        </w:rPr>
        <w:t>、参赛单位</w:t>
      </w:r>
    </w:p>
    <w:p>
      <w:pPr>
        <w:pStyle w:val="6"/>
        <w:spacing w:line="600" w:lineRule="exact"/>
        <w:ind w:firstLine="64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</w:rPr>
        <w:t>组：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县（市、区）教体局。</w:t>
      </w:r>
    </w:p>
    <w:p>
      <w:pPr>
        <w:pStyle w:val="6"/>
        <w:spacing w:line="600" w:lineRule="exact"/>
        <w:ind w:firstLine="64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属单位组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局属各学校、二级机构及局机关。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sz w:val="32"/>
          <w:szCs w:val="32"/>
        </w:rPr>
        <w:t>、运动员资格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（一）符合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平顶山市2021年庆“双节”全民健身活动教体系统系列竞赛总规程</w:t>
      </w:r>
      <w:r>
        <w:rPr>
          <w:rFonts w:hint="eastAsia" w:ascii="仿宋_GB2312" w:hAnsi="宋体" w:eastAsia="仿宋_GB2312" w:cs="宋体"/>
          <w:sz w:val="32"/>
          <w:szCs w:val="32"/>
        </w:rPr>
        <w:t>和各单项竞赛规程的各项规定。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（二）运动员必须经市、县级以上医务部门证明身体健康，同时必须办理人身意外伤害保险。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）参赛队员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必须</w:t>
      </w:r>
      <w:r>
        <w:rPr>
          <w:rFonts w:hint="eastAsia" w:ascii="仿宋_GB2312" w:hAnsi="宋体" w:eastAsia="仿宋_GB2312" w:cs="宋体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各单位在职教职工，如发现外借队员，一律取消该项目成绩。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sz w:val="32"/>
          <w:szCs w:val="32"/>
        </w:rPr>
        <w:t>、参加办法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（一）局属单位组：以局属各单位教职工组队参赛；各县（市、区）以教体系统教职工组队参赛。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sz w:val="32"/>
          <w:szCs w:val="32"/>
        </w:rPr>
        <w:t>代表团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、各局属单位必须组队参加不少于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3个项目的比赛，</w:t>
      </w:r>
      <w:r>
        <w:rPr>
          <w:rFonts w:hint="eastAsia" w:ascii="仿宋_GB2312" w:hAnsi="宋体" w:eastAsia="仿宋_GB2312" w:cs="宋体"/>
          <w:sz w:val="32"/>
          <w:szCs w:val="32"/>
        </w:rPr>
        <w:t>报名人数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宋体"/>
          <w:sz w:val="32"/>
          <w:szCs w:val="32"/>
        </w:rPr>
        <w:t>各单项竞赛规程执行。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（三）不得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外借非本单位人员参加各项目比赛。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）执行国家体育总局审定的各项目最新竞赛规则和有关补充规定(具体竞赛办法按照各单项竞赛规程规定执行)。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七、计分和奖励办法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（一）各竞赛项目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根据竞赛规程</w:t>
      </w:r>
      <w:r>
        <w:rPr>
          <w:rFonts w:hint="eastAsia" w:ascii="仿宋_GB2312" w:hAnsi="宋体" w:eastAsia="仿宋_GB2312" w:cs="宋体"/>
          <w:sz w:val="32"/>
          <w:szCs w:val="32"/>
        </w:rPr>
        <w:t>设立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名次奖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录取前八名，参数人数（队）少于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8人（队）减一录取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（二）设“体育道德风尚奖”和“优秀组织奖”。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不</w:t>
      </w:r>
      <w:r>
        <w:rPr>
          <w:rFonts w:hint="eastAsia" w:ascii="仿宋_GB2312" w:hAnsi="宋体" w:eastAsia="仿宋_GB2312" w:cs="宋体"/>
          <w:sz w:val="32"/>
          <w:szCs w:val="32"/>
        </w:rPr>
        <w:t>设团体总分奖。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八、赛风赛纪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执行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平顶山市2021年庆“双节”全民健身活动教体系统系列竞赛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单项竞赛规程规定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6"/>
        <w:numPr>
          <w:ilvl w:val="0"/>
          <w:numId w:val="2"/>
        </w:numPr>
        <w:spacing w:line="600" w:lineRule="exact"/>
        <w:ind w:firstLine="640" w:firstLineChars="200"/>
        <w:rPr>
          <w:rFonts w:hint="default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联系人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局体卫艺科联系电话：2629916  2629952</w:t>
      </w:r>
    </w:p>
    <w:p>
      <w:pPr>
        <w:pStyle w:val="6"/>
        <w:spacing w:line="60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邮箱：18637508799@126.com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联系人：周俊伟   18637508799  丁中帅   13783756052</w:t>
      </w:r>
    </w:p>
    <w:p>
      <w:pPr>
        <w:pStyle w:val="6"/>
        <w:spacing w:line="60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十、本总规程的解释权属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平顶山市2021年庆“双节”全民健身活动教体系统系列竞赛</w:t>
      </w:r>
      <w:r>
        <w:rPr>
          <w:rFonts w:hint="eastAsia" w:ascii="黑体" w:hAnsi="黑体" w:eastAsia="黑体" w:cs="宋体"/>
          <w:sz w:val="32"/>
          <w:szCs w:val="32"/>
        </w:rPr>
        <w:t>组委会。</w:t>
      </w:r>
    </w:p>
    <w:p>
      <w:pPr>
        <w:pStyle w:val="6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2021年9月16日</w:t>
      </w:r>
    </w:p>
    <w:p>
      <w:pPr>
        <w:pStyle w:val="6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3"/>
        <w:bidi w:val="0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</w:rPr>
        <w:t>平顶山市2021年庆“双节”全民健身活动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</w:rPr>
        <w:t>教体系统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篮球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竞赛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规程</w:t>
      </w:r>
    </w:p>
    <w:p>
      <w:pPr>
        <w:rPr>
          <w:rFonts w:hint="eastAsia"/>
          <w:lang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一、主办、承办单位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主办单位：平顶山市教育体育局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协办单位：待定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、比赛时间、地点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三、竞赛分组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1.县（市、区）组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2.局属单位组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四、参赛办法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1.各队限报12名队员，均须为本单位在职教职工，每队可报领队1名，教练员1名。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2.参赛运动员须经县以上医院检查身体健康，同时所在单位必须为参赛队员办理人身意外伤害保险。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3.经过资格审查和公示后，参赛队员不得调整。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五、竞赛办法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1.比赛执行中国篮球协会审定的最新《篮球竞赛规则》和相关补充规定。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2.各组别报名8支以上队伍，比赛分两个阶段进行：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第一阶段： 根据报名队数抽签分组。各组采用单循环制进行比赛，排出名次。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第二阶段：获小组1－2名的队进行交叉淘汰决出1－4名，获小组3－4名的队进行交叉淘汰决出5－8名。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计分办法：胜一场得2分，负一场得1分，弃权得0分，积分多者名次在前。如遇两队积分相等，按两队相互间比赛的胜负决定名次。如遇三队或三队以上积分相等，则以相互比赛的得失分率（得分之和除以失分之和）决定名次。如再相等，以整个循环赛的得失分率决定名次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4.比赛服装：各参赛队必须准备深、浅两种不同颜色的比赛服装，赛程表列前的队穿浅色服装，列后的队穿深色服装。上衣前后必须有明显的号码，不符合规定，不允许上场比赛。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5.第一阶段校级领导上场比赛时间不低于一节时可加5分，第二阶段不再执行。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6.参赛队员要严格要求自己，服从裁判，文明参赛。比赛中出现有争议的情况，应通过裁判员及时报仲裁委员会，由仲裁委员会做出裁决。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7.要求各参赛队根据比赛时间提前半小时抵达比赛场地。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六、录取名次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根据最终排名顺序，取前八名；不足八支队伍取前六名，获得名次的单位颁发奖牌。</w:t>
      </w:r>
    </w:p>
    <w:p>
      <w:pPr>
        <w:pStyle w:val="6"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比赛分为预赛和复赛两个阶段，预赛采用分组单循环制，复赛采用淘汰制。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、报名办法：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另行通知。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、比赛裁判：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裁判长与裁判员由主办单位选派。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九、未尽事宜，另行通知。本规程的解释权属比赛组委会。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Style w:val="19"/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Style w:val="19"/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Style w:val="19"/>
          <w:rFonts w:hint="eastAsia" w:ascii="黑体" w:hAnsi="黑体" w:eastAsia="黑体" w:cs="黑体"/>
          <w:b w:val="0"/>
          <w:bCs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both"/>
        <w:textAlignment w:val="auto"/>
        <w:rPr>
          <w:rStyle w:val="19"/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  <w:t>平顶山市2021年庆“双节”全民健身活动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  <w:br w:type="textWrapping"/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  <w:t>教体系统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  <w:t>乒乓球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</w:rPr>
        <w:t>竞赛</w:t>
      </w:r>
      <w:r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  <w:t>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Style w:val="19"/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一、主办、承办单位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主办单位：平顶山市教育体育局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承办单位：待定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二、比赛时间、地点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三、比赛项目及组别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县（市、区）组：男、女单打比赛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局属单位组（含市局机关）：男、女单打比赛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四、参加范围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各县（市、区）教体局、市教体局局属各学校、二级机构及局机关。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五、参加办法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1.各县（市、区）和局属单位（含市局机关及二级机构）每单位男、女运动员可分别报4人。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2.各单位按要求名额报名参加。出现意外伤害事故由参赛者自行负责，组委会不承担任何责任。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3.参赛运动员在报到时，必须随身携带本人身份证及自愿参赛责任书。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六、竞赛办法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1.执行国家体育总局审定的《乒乓球竞赛规则》。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2.比赛办法视报名情况另定。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七、录取名次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县（市、区）组和局属单位组（含市局机关及二级机构）单打比赛男女分别录取前八名。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八、报名办法：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另行通知。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九、比赛裁判：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裁判长与裁判员由主办单位选派。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十、未尽事宜，另行通知。本规程的解释权属比赛组委会。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jc w:val="both"/>
        <w:textAlignment w:val="auto"/>
        <w:rPr>
          <w:rStyle w:val="19"/>
          <w:rFonts w:hint="default"/>
          <w:b/>
          <w:lang w:val="en-US"/>
        </w:rPr>
      </w:pPr>
      <w:r>
        <w:rPr>
          <w:rStyle w:val="19"/>
          <w:rFonts w:hint="eastAsia"/>
          <w:b/>
        </w:rPr>
        <w:br w:type="page"/>
      </w:r>
      <w:r>
        <w:rPr>
          <w:rStyle w:val="19"/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Style w:val="19"/>
          <w:rFonts w:hint="eastAsia" w:ascii="黑体" w:hAnsi="黑体" w:eastAsia="黑体" w:cs="黑体"/>
          <w:b w:val="0"/>
          <w:bCs/>
          <w:sz w:val="32"/>
          <w:szCs w:val="32"/>
          <w:lang w:val="en-US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227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平顶山市2021年“庆双节”全民健身活动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教体系统羽毛球竞赛规程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一、主办、承办单位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主办单位：平顶山市教育体育局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协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办单位：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二、比赛时间、地点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三、参赛单位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各县（市、区）教体局、市教体局局属各学校、二级机构及局机关。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四、竞赛项目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男子双打、 混合双打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五、竞赛办法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（一）竞赛规则：执行国家体育总局审定的最新《羽毛球竞赛规则》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（二）竞赛编排方案本次比赛不设种子选手，由组委会视报名情况抽签编排，第一阶段进行分组循环赛，第二阶段进行淘汰赛决出名次。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第一阶段均采用一局 31 分制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16 分交换场区。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第二阶段均采用淘汰赛，三局二胜 21 分制。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比赛按编排顺序紧跟前场进行，迟到 10 分钟按弃权论处。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在一场比赛进行中，凡因伤病或其他原因不能继续比赛者，视为该运动员自动放弃本场比赛，本场比赛判对手获胜。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比赛中因某方运动员不服裁判判罚或其他原因，在裁判长要求恢复比赛5分钟内，仍旧不进行比赛，视为该运动员罢赛，本场比赛判对手获胜。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各单项组别报名人数不足 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4对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时，取消该项比赛。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六、录取名次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根据最终排名顺序，录取前8名。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七、裁判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裁判长与裁判员由组委会选派。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八、报名办法：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另行通知。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九、比赛裁判：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裁判长与裁判员由主办单位选派。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十、未尽事宜，另行通知。本规程的解释权属比赛组委会。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eastAsia="宋体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bidi w:val="0"/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平顶山市2021年“庆双节”全民健身活动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>教体系统气排球竞赛规程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一、主办、承办单位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主办单位：平顶山市教育体育局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承办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单位：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二、比赛时间、地点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待定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三、参赛单位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各县（市、区）教体局、市教体局局属各学校、局机关。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四、竞赛办法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（一）比赛按照《2017至2020年气排球项目竞赛规程》规定进行。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（二）比赛采用男女混合制，上场队员不少于2名女队员。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（三）比赛球网高度：男子组2.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（四）比赛用球：采用宇生富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6001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（五）比赛采用国际排联最新排球竞赛规则。第一阶段为分组循环赛，各组的前两名进入第二阶段进行淘汰赛。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（六）决定比赛名次办法：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A比赛甲乙组采用三局两胜制，计分方式：比赛结果为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:0、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:1时，胜队积2分，负队积1分；积分高者排名在前。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B当积分相等时，决定名次顺序为：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（1）胜场多者；（2）C值；（3）Z值。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 xml:space="preserve"> C当两队Z值仍相等时，两队之间比赛的胜者排名在前；当三队或三队以上Z值仍相等时，则采用抽签的办法决定最后的名次。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（七）各队须统一比赛服，上衣要有明显号码和队长标志。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五、录取名次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根据最终排名顺序，取前八名不足8支队伍取前六名；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六、报名办法：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另行通知。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七、比赛裁判：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裁判长与裁判员由主办单位选派。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八、未尽事宜，另行通知。本规程的解释权属比赛组委会。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</w:p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ind w:left="0"/>
        <w:jc w:val="both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平顶山市教育体育局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2021年庆“双节”全民健身活动教体系统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系列竞赛报项统计表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单位、学校：（公章）  单位联络员：      电话：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12"/>
        <w:tblW w:w="95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78"/>
        <w:gridCol w:w="1278"/>
        <w:gridCol w:w="1521"/>
        <w:gridCol w:w="1095"/>
        <w:gridCol w:w="141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领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队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  练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队员人数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联络员</w:t>
            </w: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篮  球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气排球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0" w:hRule="atLeast"/>
          <w:jc w:val="center"/>
        </w:trPr>
        <w:tc>
          <w:tcPr>
            <w:tcW w:w="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6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队、各局属单位、学校必须组队参加不少于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3个项目的比赛，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各单项竞赛规程执行。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984" w:left="1587" w:header="851" w:footer="1077" w:gutter="0"/>
      <w:paperSrc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Nimbus Roman No9 L"/>
    <w:panose1 w:val="020B0604020202020204"/>
    <w:charset w:val="00"/>
    <w:family w:val="swiss"/>
    <w:pitch w:val="default"/>
    <w:sig w:usb0="FFFFFFFF" w:usb1="E9FFFFFF" w:usb2="0000003F" w:usb3="00000000" w:csb0="603F01FF" w:csb1="FFFF0000"/>
  </w:font>
  <w:font w:name="方正大标宋简体">
    <w:altName w:val="方正书宋_GBK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1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8001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ascii="宋体" w:hAnsi="宋体"/>
                              <w:sz w:val="28"/>
                              <w:szCs w:val="28"/>
                              <w:lang/>
                            </w:rPr>
                            <w:t>- 135 -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63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mWGAsNMAAAAEAQAADwAAAAAAAAABACAAAAA4AAAAZHJzL2Rvd25y&#10;ZXYueG1sUEsBAhQAFAAAAAgAh07iQGBt4/ftAQAAwQMAAA4AAAAAAAAAAQAgAAAAO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ascii="宋体" w:hAnsi="宋体"/>
                        <w:sz w:val="28"/>
                        <w:szCs w:val="28"/>
                        <w:lang/>
                      </w:rPr>
                      <w:t>- 135 -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4AA8F"/>
    <w:multiLevelType w:val="singleLevel"/>
    <w:tmpl w:val="B244AA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47CB2A"/>
    <w:multiLevelType w:val="singleLevel"/>
    <w:tmpl w:val="D547CB2A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C"/>
    <w:rsid w:val="00216791"/>
    <w:rsid w:val="003B635C"/>
    <w:rsid w:val="00DC5DCF"/>
    <w:rsid w:val="00F709BB"/>
    <w:rsid w:val="02A512DE"/>
    <w:rsid w:val="03954E55"/>
    <w:rsid w:val="07B3522A"/>
    <w:rsid w:val="08F275DC"/>
    <w:rsid w:val="182E507C"/>
    <w:rsid w:val="1B813E66"/>
    <w:rsid w:val="1D100790"/>
    <w:rsid w:val="21AA7D0C"/>
    <w:rsid w:val="2788620D"/>
    <w:rsid w:val="2A5A05D1"/>
    <w:rsid w:val="2A903DB7"/>
    <w:rsid w:val="32A6747F"/>
    <w:rsid w:val="339049B4"/>
    <w:rsid w:val="38481E15"/>
    <w:rsid w:val="38DB065C"/>
    <w:rsid w:val="3C513501"/>
    <w:rsid w:val="3DC1627F"/>
    <w:rsid w:val="3DD9333D"/>
    <w:rsid w:val="3F1C6EB4"/>
    <w:rsid w:val="414E60C8"/>
    <w:rsid w:val="415054E4"/>
    <w:rsid w:val="43153158"/>
    <w:rsid w:val="485328F7"/>
    <w:rsid w:val="493C6016"/>
    <w:rsid w:val="54F00BD1"/>
    <w:rsid w:val="55595471"/>
    <w:rsid w:val="5B001C84"/>
    <w:rsid w:val="5DF15AC5"/>
    <w:rsid w:val="60815AEC"/>
    <w:rsid w:val="62DC6537"/>
    <w:rsid w:val="631375E1"/>
    <w:rsid w:val="638C6315"/>
    <w:rsid w:val="6BD00FA0"/>
    <w:rsid w:val="6BD46CC8"/>
    <w:rsid w:val="70915757"/>
    <w:rsid w:val="76F6BEBC"/>
    <w:rsid w:val="77E31BF8"/>
    <w:rsid w:val="7EC36B03"/>
    <w:rsid w:val="7FEF9C6E"/>
    <w:rsid w:val="7FFF7C6D"/>
    <w:rsid w:val="FBFD0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1"/>
    <w:pPr>
      <w:spacing w:before="100" w:beforeLines="100" w:after="100" w:afterLines="100"/>
      <w:ind w:left="227"/>
      <w:jc w:val="center"/>
      <w:outlineLvl w:val="0"/>
    </w:pPr>
    <w:rPr>
      <w:rFonts w:ascii="仿宋_GB2312" w:hAnsi="仿宋_GB2312" w:eastAsia="宋体" w:cs="仿宋_GB2312"/>
      <w:b/>
      <w:sz w:val="44"/>
      <w:szCs w:val="32"/>
      <w:lang w:val="zh-CN" w:bidi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link w:val="20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uiPriority w:val="0"/>
    <w:pPr>
      <w:spacing w:after="120" w:line="480" w:lineRule="auto"/>
      <w:ind w:leftChars="200"/>
    </w:pPr>
    <w:rPr>
      <w:rFonts w:ascii="Calibri" w:hAnsi="Calibri"/>
    </w:rPr>
  </w:style>
  <w:style w:type="paragraph" w:styleId="8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9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0">
    <w:name w:val="toc 1"/>
    <w:basedOn w:val="1"/>
    <w:next w:val="1"/>
    <w:uiPriority w:val="0"/>
    <w:rPr>
      <w:rFonts w:ascii="Calibri" w:hAnsi="Calibri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uiPriority w:val="0"/>
  </w:style>
  <w:style w:type="character" w:styleId="17">
    <w:name w:val="FollowedHyperlink"/>
    <w:basedOn w:val="14"/>
    <w:uiPriority w:val="0"/>
    <w:rPr>
      <w:color w:val="800080"/>
      <w:u w:val="single"/>
    </w:rPr>
  </w:style>
  <w:style w:type="character" w:styleId="18">
    <w:name w:val="Hyperlink"/>
    <w:basedOn w:val="14"/>
    <w:uiPriority w:val="0"/>
    <w:rPr>
      <w:rFonts w:hint="default" w:ascii="Times New Roman" w:hAnsi="Times New Roman" w:eastAsia="宋体" w:cs="Times New Roman"/>
      <w:color w:val="0000FF"/>
      <w:u w:val="single"/>
    </w:rPr>
  </w:style>
  <w:style w:type="character" w:customStyle="1" w:styleId="19">
    <w:name w:val="标题 1 Char"/>
    <w:link w:val="3"/>
    <w:uiPriority w:val="1"/>
    <w:rPr>
      <w:rFonts w:ascii="仿宋_GB2312" w:hAnsi="仿宋_GB2312" w:eastAsia="宋体" w:cs="仿宋_GB2312"/>
      <w:b/>
      <w:sz w:val="44"/>
      <w:szCs w:val="32"/>
      <w:lang w:val="zh-CN" w:bidi="zh-CN"/>
    </w:rPr>
  </w:style>
  <w:style w:type="character" w:customStyle="1" w:styleId="20">
    <w:name w:val="正文文本 Char"/>
    <w:link w:val="5"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customStyle="1" w:styleId="21">
    <w:name w:val=" Char Char"/>
    <w:link w:val="8"/>
    <w:uiPriority w:val="0"/>
    <w:rPr>
      <w:rFonts w:eastAsia="宋体"/>
      <w:sz w:val="18"/>
      <w:szCs w:val="18"/>
    </w:rPr>
  </w:style>
  <w:style w:type="character" w:customStyle="1" w:styleId="22">
    <w:name w:val=" Char Char1"/>
    <w:link w:val="9"/>
    <w:uiPriority w:val="0"/>
    <w:rPr>
      <w:rFonts w:eastAsia="宋体"/>
      <w:sz w:val="18"/>
      <w:szCs w:val="18"/>
    </w:rPr>
  </w:style>
  <w:style w:type="character" w:customStyle="1" w:styleId="23">
    <w:name w:val="页眉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正文 A"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6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列出段落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9">
    <w:name w:val="msonormalcxspla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135</Pages>
  <Words>8005</Words>
  <Characters>45635</Characters>
  <Lines>380</Lines>
  <Paragraphs>107</Paragraphs>
  <TotalTime>2</TotalTime>
  <ScaleCrop>false</ScaleCrop>
  <LinksUpToDate>false</LinksUpToDate>
  <CharactersWithSpaces>53533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2018-02-12T17:37:00Z</dcterms:created>
  <dc:creator>系统管理员</dc:creator>
  <cp:lastModifiedBy>greatwall</cp:lastModifiedBy>
  <cp:lastPrinted>2021-09-17T10:02:22Z</cp:lastPrinted>
  <dcterms:modified xsi:type="dcterms:W3CDTF">2021-09-17T10:48:05Z</dcterms:modified>
  <dc:title>河南省体育局文件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4FDE3013A0E142D19DC466FDA46AB2DF</vt:lpwstr>
  </property>
</Properties>
</file>