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季开学情况检查表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被检查学校(盖章)：                    检查时间：   </w:t>
      </w: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214"/>
        <w:gridCol w:w="1066"/>
        <w:gridCol w:w="1074"/>
        <w:gridCol w:w="76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1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6214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检    查    要    点</w:t>
            </w:r>
          </w:p>
        </w:tc>
        <w:tc>
          <w:tcPr>
            <w:tcW w:w="2901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检查情况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1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4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存在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问题</w:t>
            </w: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措施</w:t>
            </w: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w w:val="90"/>
                <w:kern w:val="0"/>
                <w:sz w:val="28"/>
                <w:szCs w:val="28"/>
                <w:lang w:eastAsia="zh-CN"/>
              </w:rPr>
              <w:t>一．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疫情防控工作情况（10分）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是否成立新冠肺炎疫情防控工作领导小组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分）；②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是否制定具体防控工作方案、应急处置预案和工作制度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分）；③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是否落实学校与卫健部门、疾控、医院等单位“点对点、人对人”协作机制，细化校内“小网格”管理，强化各部门协同联动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分）；④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是否储备足够数量的疫情防控物资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分）；⑤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是否开学前对学校环境和空调系统进行彻底清洁，并开展预防性消毒，提前做好对教室、食堂、宿舍、图书馆等公共场所开窗通风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分）；⑥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是否在校门口就近设置临时等候区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分）；⑦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是否根据有关规定按教职员工和学生人数足额配备校医或保健教师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分）；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⑧是否提前掌握教职员工（包括教师，以及食堂、保洁、保安和宿管等后勤服务人员）和学生开学前14天健康状况、中高风险地区旅居史等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分）；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⑨是否实行校园相对封闭式管理，全面梳理所有进校通道，校外无关人员一律不准进校，师生进校门一律核验身份和检测体温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</w:rPr>
              <w:t>分）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  <w:t>、学校开学准备情况（</w:t>
            </w: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  <w:t>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①学校是否召开了班子会及全体教职工会议,对开学工作进行详细安排（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分）；②是否落实了开学所需的人、财、物的各项准备工作，按时开学（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分）；③学校班子成员到位情况，是否做到分工明确（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分），学校班子带课情况（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分）；④教师到岗情况，是否存在教师脱岗现象（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分）；⑤教材到位情况（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分）；⑥学校收费情况（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分），有无违规私征私订或用其它不正当手段订购课外教辅资料现象（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分）；⑦党风廉政建设部署情况,落实中央八项规定精神和反对“四风”采取的措施。（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分）。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  <w:t>、学生到校情况（10分）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①学生是否全员到校（3分）；②农民工随迁子女、农村留守儿童、贫困家庭子女是否到校（2分）；③学生学籍及异动手续办理情况（3分）；④是否建立学生综合素质评价制度，着手建设本学期成长档案（2分）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、教育教学管理情况（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①学校是否制定各项工作计划（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分）；②教师是否制定教学计划（2分），是否备好三天以上的课（2分）；③备课上课情况学校领导是否检查（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分）；④全面提高教育教学质量是否采取了一些有效措施（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分）；⑤是否严格执行课程计划，统一执行作息时间表（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分），学校是否规划课外活动安排，有教师指导（2分）；⑥是否合理设置地方课程、校本课程及综合实践课程（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分）；⑦是否开设有心理健康教育、音体美、信息劳动技术等课程（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分）；</w:t>
            </w:r>
            <w:r>
              <w:rPr>
                <w:rFonts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instrText xml:space="preserve"> </w:instrTex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instrText xml:space="preserve">= 8 \* GB3</w:instrText>
            </w:r>
            <w:r>
              <w:rPr>
                <w:rFonts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instrText xml:space="preserve"> </w:instrText>
            </w:r>
            <w:r>
              <w:rPr>
                <w:rFonts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⑧</w:t>
            </w:r>
            <w:r>
              <w:rPr>
                <w:rFonts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是否建设“班班通”及配置心理咨询室（2分）。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  <w:t>、特色学校创建情况（10分）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①学校是否有切实可行的近、远期特色学校建设规划（3分）；②是否建立保障特色发展的各项机制，在人力、物力、财力和制度上给予充分保障（3分）；③是否按规定全面开设各门课程，并在学科教学中有效渗透特色教育内容（2分）；④是否通过多样化的活动烘托特色、提升特色，各项活动有记载（2分）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0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、师德师风建设</w:t>
            </w: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  <w:t>情况（10分）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</w:rPr>
              <w:t>①学校是否建章立制并成立师德师风建设工作领导小组（2分）；②是否结合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市教体局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</w:rPr>
              <w:t>每年开展的师德主题教育系列活动定期开展师德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师风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</w:rPr>
              <w:t>宣传活动（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</w:rPr>
              <w:t>分）；③是否将师德建设工作融入教师日常管理中，把师德良好作为教师绩效考核、评先评优、职称评审、职务晋升的基本条件（2分）；④是否建立师德考核评价制度，逐步完善教师个人档案（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</w:rPr>
              <w:t>分）；⑤是否开展教师有偿补课专项治理工作，治理工作的主要举措、突出成效、发现的问题及处理情况（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</w:rPr>
              <w:t>分）；⑥学校是否建立完善举报查处制度，建设畅通的投诉渠道（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</w:rPr>
              <w:t>分）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;</w:t>
            </w:r>
            <w:r>
              <w:rPr>
                <w:rFonts w:hint="eastAsia" w:ascii="仿宋_GB2312" w:hAnsi="宋体" w:eastAsia="仿宋_GB2312" w:cs="宋体"/>
                <w:b w:val="0"/>
                <w:color w:val="auto"/>
                <w:kern w:val="0"/>
                <w:sz w:val="21"/>
                <w:szCs w:val="21"/>
              </w:rPr>
              <w:t>⑦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是否有年度计划、总结，是否参加师德师风优秀论文评比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</w:rPr>
              <w:t>分）。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、校园卫生安全维稳情况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</w:rPr>
              <w:t>①开学前安全会议记录、安全检查记录、整改记录；校园及周边安全隐患排查整改报告，学校出入登记记录完整（4分）。②开学前对本校师生进行安全卫生教育，查记录；落实安全教育进课堂，师资、课时、教材三落实，查课表;上学期安全课、安全主题班会、安全专题完成情况（3分）。③学校食堂各项安全管理制度上墙；无“三无”和过期食品等；食堂整洁卫生，炊事员有健康证，食堂收费符合规定（3分）。④落实人防、物防、技防等情况（3分）；⑤宿舍管理制度上墙，明确管理人员职责；房间干净卫生，床上物品干净整齐、摆放有序（3分）；⑥学校和谐稳定，无集体越级上访事件，无不稳定隐患（2分）;⑦制定预防校园欺凌工作方案、领导机构、专职负责人、举报电话，要求在网站上公示（2分）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八、消除大班额工作情况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2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义务教育阶段：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全部消除66人以上超大班额，基本消除现有56人以上大班额，大班额比例控制在5%以内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分）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普通高中：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全面消除66人以上超大班额，56人以上大班额比例控制在10%以内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</w:rPr>
              <w:t>分）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</w:rPr>
              <w:t>②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起始年级无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56人以上大班额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</w:rPr>
              <w:t>分）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整体情况</w:t>
            </w:r>
          </w:p>
        </w:tc>
        <w:tc>
          <w:tcPr>
            <w:tcW w:w="621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18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before="100" w:beforeAutospacing="1" w:after="100" w:afterAutospacing="1" w:line="3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4"/>
        </w:rPr>
        <w:t> </w:t>
      </w:r>
      <w:r>
        <w:rPr>
          <w:rFonts w:hint="eastAsia" w:ascii="ˎ̥" w:hAnsi="ˎ̥" w:cs="宋体"/>
          <w:color w:val="000000"/>
          <w:kern w:val="0"/>
          <w:sz w:val="24"/>
        </w:rPr>
        <w:t xml:space="preserve">   </w:t>
      </w:r>
      <w:r>
        <w:rPr>
          <w:rFonts w:ascii="ˎ̥" w:hAnsi="ˎ̥" w:cs="宋体"/>
          <w:color w:val="000000"/>
          <w:kern w:val="0"/>
          <w:sz w:val="24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注：此表一式两份，一份留学校存档，一份由检查组带回。</w:t>
      </w:r>
    </w:p>
    <w:p>
      <w:pPr>
        <w:widowControl/>
        <w:adjustRightInd w:val="0"/>
        <w:snapToGrid w:val="0"/>
        <w:spacing w:line="360" w:lineRule="exact"/>
        <w:ind w:firstLine="562" w:firstLineChars="200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检查组成员签名：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</w:t>
      </w:r>
    </w:p>
    <w:p/>
    <w:sectPr>
      <w:pgSz w:w="11906" w:h="16838"/>
      <w:pgMar w:top="850" w:right="896" w:bottom="0" w:left="89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7D7F"/>
    <w:rsid w:val="0BEA0DC1"/>
    <w:rsid w:val="3C1F654F"/>
    <w:rsid w:val="3CA65674"/>
    <w:rsid w:val="40590D4E"/>
    <w:rsid w:val="4EFFD809"/>
    <w:rsid w:val="627E7680"/>
    <w:rsid w:val="BDBEB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52"/>
      <w:szCs w:val="5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2020-07-17T17:56:00Z</dcterms:created>
  <dc:creator>Administrator</dc:creator>
  <cp:lastModifiedBy>greatwall</cp:lastModifiedBy>
  <cp:lastPrinted>2020-08-28T18:54:00Z</cp:lastPrinted>
  <dcterms:modified xsi:type="dcterms:W3CDTF">2022-02-15T15:14:13Z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322EABCCEFB74450AC61B8DD5A30F346</vt:lpwstr>
  </property>
</Properties>
</file>