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autoSpaceDN w:val="0"/>
        <w:rPr>
          <w:rFonts w:eastAsia="黑体"/>
          <w:color w:val="000000"/>
          <w:szCs w:val="32"/>
        </w:rPr>
      </w:pPr>
      <w:bookmarkStart w:id="0" w:name="_GoBack"/>
      <w:bookmarkEnd w:id="0"/>
      <w:r>
        <w:rPr>
          <w:rFonts w:eastAsia="黑体"/>
          <w:color w:val="000000"/>
        </w:rPr>
        <w:t>附件2</w:t>
      </w:r>
    </w:p>
    <w:p>
      <w:pPr>
        <w:autoSpaceDN w:val="0"/>
        <w:jc w:val="center"/>
        <w:rPr>
          <w:rFonts w:hint="default" w:eastAsia="方正小标宋简体"/>
          <w:color w:val="000000"/>
          <w:kern w:val="0"/>
          <w:sz w:val="36"/>
          <w:szCs w:val="36"/>
          <w:lang w:val="en-US" w:eastAsia="zh-CN"/>
        </w:rPr>
      </w:pPr>
      <w:r>
        <w:rPr>
          <w:rFonts w:hint="eastAsia" w:eastAsia="方正小标宋简体"/>
          <w:color w:val="000000"/>
          <w:kern w:val="0"/>
          <w:sz w:val="36"/>
          <w:szCs w:val="36"/>
          <w:lang w:eastAsia="zh-CN"/>
        </w:rPr>
        <w:t>平顶山</w:t>
      </w:r>
      <w:r>
        <w:rPr>
          <w:rFonts w:eastAsia="方正小标宋简体"/>
          <w:color w:val="000000"/>
          <w:kern w:val="0"/>
          <w:sz w:val="36"/>
          <w:szCs w:val="36"/>
        </w:rPr>
        <w:t>市幼儿园</w:t>
      </w:r>
      <w:r>
        <w:rPr>
          <w:rFonts w:hint="eastAsia" w:eastAsia="方正小标宋简体"/>
          <w:color w:val="000000"/>
          <w:kern w:val="0"/>
          <w:sz w:val="36"/>
          <w:szCs w:val="36"/>
          <w:lang w:eastAsia="zh-CN"/>
        </w:rPr>
        <w:t>年审细则</w:t>
      </w:r>
      <w:r>
        <w:rPr>
          <w:rFonts w:hint="eastAsia" w:eastAsia="方正小标宋简体"/>
          <w:color w:val="000000"/>
          <w:kern w:val="0"/>
          <w:sz w:val="36"/>
          <w:szCs w:val="36"/>
          <w:lang w:val="en-US" w:eastAsia="zh-CN"/>
        </w:rPr>
        <w:t>（试行）</w:t>
      </w:r>
    </w:p>
    <w:p>
      <w:pPr>
        <w:autoSpaceDN w:val="0"/>
        <w:rPr>
          <w:rFonts w:eastAsia="宋体"/>
          <w:color w:val="000000"/>
          <w:kern w:val="0"/>
          <w:sz w:val="21"/>
          <w:szCs w:val="21"/>
        </w:rPr>
      </w:pPr>
      <w:r>
        <w:rPr>
          <w:rFonts w:eastAsia="宋体"/>
          <w:color w:val="000000"/>
          <w:kern w:val="0"/>
          <w:sz w:val="21"/>
          <w:szCs w:val="21"/>
        </w:rPr>
        <w:t>幼儿园名称：</w:t>
      </w:r>
    </w:p>
    <w:tbl>
      <w:tblPr>
        <w:tblW w:w="14011"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28" w:type="dxa"/>
          <w:left w:w="57" w:type="dxa"/>
          <w:bottom w:w="28" w:type="dxa"/>
          <w:right w:w="57" w:type="dxa"/>
        </w:tblCellMar>
      </w:tblPr>
      <w:tblGrid>
        <w:gridCol w:w="979"/>
        <w:gridCol w:w="827"/>
        <w:gridCol w:w="8742"/>
        <w:gridCol w:w="734"/>
        <w:gridCol w:w="1086"/>
        <w:gridCol w:w="911"/>
        <w:gridCol w:w="732"/>
      </w:tblGrid>
      <w:tr>
        <w:trPr>
          <w:trHeight w:val="90" w:hRule="atLeast"/>
        </w:trPr>
        <w:tc>
          <w:tcPr>
            <w:tcW w:w="979"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黑体" w:eastAsia="黑体"/>
                <w:b w:val="0"/>
                <w:bCs w:val="0"/>
                <w:sz w:val="21"/>
                <w:szCs w:val="21"/>
              </w:rPr>
            </w:pPr>
            <w:r>
              <w:rPr>
                <w:rFonts w:hint="eastAsia" w:ascii="黑体" w:eastAsia="黑体"/>
                <w:b w:val="0"/>
                <w:bCs w:val="0"/>
                <w:sz w:val="21"/>
                <w:szCs w:val="21"/>
                <w:lang w:eastAsia="zh-CN"/>
              </w:rPr>
              <w:t>一</w:t>
            </w:r>
            <w:r>
              <w:rPr>
                <w:rFonts w:hint="eastAsia" w:ascii="黑体" w:eastAsia="黑体"/>
                <w:b w:val="0"/>
                <w:bCs w:val="0"/>
                <w:sz w:val="21"/>
                <w:szCs w:val="21"/>
              </w:rPr>
              <w:t>级</w:t>
            </w:r>
          </w:p>
          <w:p>
            <w:pPr>
              <w:snapToGrid w:val="0"/>
              <w:spacing w:line="240" w:lineRule="exact"/>
              <w:jc w:val="center"/>
              <w:rPr>
                <w:rFonts w:eastAsia="宋体"/>
                <w:b/>
                <w:bCs/>
                <w:sz w:val="21"/>
                <w:szCs w:val="21"/>
              </w:rPr>
            </w:pPr>
            <w:r>
              <w:rPr>
                <w:rFonts w:hint="eastAsia" w:ascii="黑体" w:eastAsia="黑体"/>
                <w:b w:val="0"/>
                <w:bCs w:val="0"/>
                <w:sz w:val="21"/>
                <w:szCs w:val="21"/>
              </w:rPr>
              <w:t>指标</w:t>
            </w:r>
          </w:p>
        </w:tc>
        <w:tc>
          <w:tcPr>
            <w:tcW w:w="82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黑体" w:eastAsia="黑体"/>
                <w:b w:val="0"/>
                <w:bCs w:val="0"/>
                <w:sz w:val="21"/>
                <w:szCs w:val="21"/>
              </w:rPr>
            </w:pPr>
            <w:r>
              <w:rPr>
                <w:rFonts w:hint="eastAsia" w:ascii="黑体" w:eastAsia="黑体"/>
                <w:b w:val="0"/>
                <w:bCs w:val="0"/>
                <w:sz w:val="21"/>
                <w:szCs w:val="21"/>
                <w:lang w:eastAsia="zh-CN"/>
              </w:rPr>
              <w:t>二</w:t>
            </w:r>
            <w:r>
              <w:rPr>
                <w:rFonts w:hint="eastAsia" w:ascii="黑体" w:eastAsia="黑体"/>
                <w:b w:val="0"/>
                <w:bCs w:val="0"/>
                <w:sz w:val="21"/>
                <w:szCs w:val="21"/>
              </w:rPr>
              <w:t>级</w:t>
            </w:r>
          </w:p>
          <w:p>
            <w:pPr>
              <w:snapToGrid w:val="0"/>
              <w:spacing w:line="240" w:lineRule="exact"/>
              <w:jc w:val="center"/>
              <w:rPr>
                <w:rFonts w:eastAsia="宋体"/>
                <w:b/>
                <w:bCs/>
                <w:sz w:val="21"/>
                <w:szCs w:val="21"/>
              </w:rPr>
            </w:pPr>
            <w:r>
              <w:rPr>
                <w:rFonts w:hint="eastAsia" w:ascii="黑体" w:eastAsia="黑体"/>
                <w:b w:val="0"/>
                <w:bCs w:val="0"/>
                <w:sz w:val="21"/>
                <w:szCs w:val="21"/>
              </w:rPr>
              <w:t>指标</w:t>
            </w:r>
          </w:p>
        </w:tc>
        <w:tc>
          <w:tcPr>
            <w:tcW w:w="8742"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eastAsia="宋体"/>
                <w:b/>
                <w:bCs/>
                <w:sz w:val="21"/>
                <w:szCs w:val="21"/>
                <w:lang w:eastAsia="zh-CN"/>
              </w:rPr>
            </w:pPr>
            <w:r>
              <w:rPr>
                <w:rFonts w:hint="eastAsia" w:eastAsia="宋体"/>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eastAsia="宋体"/>
                <w:b/>
                <w:bCs/>
                <w:sz w:val="21"/>
                <w:szCs w:val="21"/>
              </w:rPr>
            </w:pPr>
            <w:r>
              <w:rPr>
                <w:rFonts w:eastAsia="宋体"/>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both"/>
              <w:rPr>
                <w:rFonts w:hint="eastAsia" w:eastAsia="宋体"/>
                <w:b/>
                <w:bCs/>
                <w:sz w:val="21"/>
                <w:szCs w:val="21"/>
                <w:lang w:eastAsia="zh-CN"/>
              </w:rPr>
            </w:pPr>
            <w:r>
              <w:rPr>
                <w:rFonts w:hint="eastAsia" w:eastAsia="宋体"/>
                <w:b/>
                <w:bCs/>
                <w:sz w:val="21"/>
                <w:szCs w:val="21"/>
                <w:lang w:val="en-US" w:eastAsia="zh-CN"/>
              </w:rPr>
              <w:t xml:space="preserve"> </w:t>
            </w:r>
            <w:r>
              <w:rPr>
                <w:rFonts w:hint="eastAsia" w:eastAsia="宋体"/>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eastAsia="宋体"/>
                <w:b/>
                <w:bCs/>
                <w:sz w:val="21"/>
                <w:szCs w:val="21"/>
                <w:lang w:eastAsia="zh-CN"/>
              </w:rPr>
            </w:pPr>
            <w:r>
              <w:rPr>
                <w:rFonts w:hint="eastAsia" w:eastAsia="宋体"/>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eastAsia="宋体"/>
                <w:b/>
                <w:bCs/>
                <w:sz w:val="21"/>
                <w:szCs w:val="21"/>
                <w:lang w:eastAsia="zh-CN"/>
              </w:rPr>
            </w:pPr>
            <w:r>
              <w:rPr>
                <w:rFonts w:hint="eastAsia" w:eastAsia="宋体"/>
                <w:b/>
                <w:bCs/>
                <w:sz w:val="21"/>
                <w:szCs w:val="21"/>
                <w:lang w:eastAsia="zh-CN"/>
              </w:rPr>
              <w:t>备注</w:t>
            </w:r>
          </w:p>
        </w:tc>
      </w:tr>
      <w:tr>
        <w:trPr>
          <w:trHeight w:val="733" w:hRule="atLeast"/>
        </w:trPr>
        <w:tc>
          <w:tcPr>
            <w:tcW w:w="979" w:type="dxa"/>
            <w:vMerge w:val="restart"/>
            <w:tcBorders>
              <w:top w:val="single" w:color="000000" w:sz="4" w:space="0"/>
              <w:left w:val="single" w:color="000000" w:sz="4" w:space="0"/>
              <w:right w:val="single" w:color="000000" w:sz="4" w:space="0"/>
            </w:tcBorders>
            <w:vAlign w:val="center"/>
          </w:tcPr>
          <w:p>
            <w:pPr>
              <w:numPr>
                <w:ilvl w:val="0"/>
                <w:numId w:val="1"/>
              </w:numPr>
              <w:spacing w:line="240" w:lineRule="auto"/>
              <w:jc w:val="left"/>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加强党的领导</w:t>
            </w:r>
          </w:p>
          <w:p>
            <w:pPr>
              <w:numPr>
                <w:numId w:val="0"/>
              </w:numPr>
              <w:spacing w:line="240" w:lineRule="auto"/>
              <w:jc w:val="left"/>
              <w:rPr>
                <w:rFonts w:hint="default" w:ascii="仿宋_GB2312" w:hAnsi="仿宋" w:eastAsia="仿宋_GB2312" w:cs="仿宋"/>
                <w:b w:val="0"/>
                <w:bCs w:val="0"/>
                <w:kern w:val="0"/>
                <w:sz w:val="21"/>
                <w:szCs w:val="21"/>
                <w:lang w:eastAsia="zh-CN"/>
              </w:rPr>
            </w:pPr>
            <w:r>
              <w:rPr>
                <w:rFonts w:hint="eastAsia" w:ascii="仿宋_GB2312" w:hAnsi="仿宋" w:cs="仿宋"/>
                <w:b w:val="0"/>
                <w:bCs w:val="0"/>
                <w:kern w:val="0"/>
                <w:sz w:val="21"/>
                <w:szCs w:val="21"/>
                <w:lang w:val="en-US" w:eastAsia="zh-CN"/>
              </w:rPr>
              <w:t xml:space="preserve"> </w:t>
            </w:r>
            <w:r>
              <w:rPr>
                <w:rFonts w:hint="default" w:ascii="仿宋_GB2312" w:hAnsi="仿宋" w:cs="仿宋"/>
                <w:b w:val="0"/>
                <w:bCs w:val="0"/>
                <w:kern w:val="0"/>
                <w:sz w:val="21"/>
                <w:szCs w:val="21"/>
                <w:lang w:eastAsia="zh-CN"/>
              </w:rPr>
              <w:t>(</w:t>
            </w:r>
            <w:r>
              <w:rPr>
                <w:rFonts w:hint="eastAsia" w:ascii="仿宋_GB2312" w:hAnsi="仿宋" w:cs="仿宋"/>
                <w:b w:val="0"/>
                <w:bCs w:val="0"/>
                <w:kern w:val="0"/>
                <w:sz w:val="21"/>
                <w:szCs w:val="21"/>
                <w:lang w:val="en-US" w:eastAsia="zh-CN"/>
              </w:rPr>
              <w:t>5</w:t>
            </w:r>
            <w:r>
              <w:rPr>
                <w:rFonts w:hint="eastAsia" w:ascii="仿宋_GB2312" w:hAnsi="仿宋" w:cs="仿宋"/>
                <w:b w:val="0"/>
                <w:bCs w:val="0"/>
                <w:kern w:val="0"/>
                <w:sz w:val="21"/>
                <w:szCs w:val="21"/>
                <w:lang w:eastAsia="zh-CN"/>
              </w:rPr>
              <w:t>分</w:t>
            </w:r>
            <w:r>
              <w:rPr>
                <w:rFonts w:hint="default" w:ascii="仿宋_GB2312" w:hAnsi="仿宋" w:cs="仿宋"/>
                <w:b w:val="0"/>
                <w:bCs w:val="0"/>
                <w:kern w:val="0"/>
                <w:sz w:val="21"/>
                <w:szCs w:val="21"/>
                <w:lang w:eastAsia="zh-CN"/>
              </w:rPr>
              <w:t>)</w:t>
            </w: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default"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1.1坚持正确办学方向</w:t>
            </w:r>
          </w:p>
        </w:tc>
        <w:tc>
          <w:tcPr>
            <w:tcW w:w="874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1.全面贯彻党的教育方针，坚持社会主义办学方向，落实立德树人根本任务，培养德智体美劳全面发展的社会主义建设者和接班人。重点查看：是否在园所醒目位置准确宣传展示党的教育方针；教职工是否熟记新时期党的教育方针；是否严重偏离社会主义办学方向；是否发生重大意识形态事件和安全稳定事件。</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default" w:ascii="仿宋_GB2312" w:hAnsi="仿宋" w:cs="仿宋"/>
                <w:b w:val="0"/>
                <w:bCs w:val="0"/>
                <w:sz w:val="21"/>
                <w:szCs w:val="21"/>
                <w:lang w:val="en-US" w:eastAsia="zh-CN"/>
              </w:rPr>
            </w:pPr>
            <w:r>
              <w:rPr>
                <w:rFonts w:hint="eastAsia" w:ascii="仿宋_GB2312" w:hAnsi="仿宋" w:cs="仿宋"/>
                <w:b w:val="0"/>
                <w:bCs w:val="0"/>
                <w:sz w:val="21"/>
                <w:szCs w:val="21"/>
                <w:lang w:val="en-US" w:eastAsia="zh-CN"/>
              </w:rPr>
              <w:t>2分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实地查看</w:t>
            </w:r>
          </w:p>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随机访谈</w:t>
            </w:r>
          </w:p>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网络查询</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 w:cs="仿宋"/>
                <w:b w:val="0"/>
                <w:bCs w:val="0"/>
                <w:sz w:val="21"/>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 w:cs="仿宋"/>
                <w:b w:val="0"/>
                <w:bCs w:val="0"/>
                <w:sz w:val="21"/>
                <w:szCs w:val="21"/>
              </w:rPr>
            </w:pPr>
          </w:p>
        </w:tc>
      </w:tr>
      <w:tr>
        <w:trPr>
          <w:trHeight w:val="702" w:hRule="atLeast"/>
        </w:trPr>
        <w:tc>
          <w:tcPr>
            <w:tcW w:w="979" w:type="dxa"/>
            <w:vMerge w:val="continue"/>
            <w:tcBorders>
              <w:left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default"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1.2加强</w:t>
            </w:r>
            <w:r>
              <w:rPr>
                <w:rFonts w:hint="eastAsia" w:ascii="仿宋_GB2312" w:hAnsi="仿宋" w:cs="仿宋"/>
                <w:b w:val="0"/>
                <w:bCs w:val="0"/>
                <w:kern w:val="0"/>
                <w:sz w:val="21"/>
                <w:szCs w:val="21"/>
                <w:lang w:val="en-US" w:eastAsia="zh-CN"/>
              </w:rPr>
              <w:t xml:space="preserve"> </w:t>
            </w:r>
            <w:r>
              <w:rPr>
                <w:rFonts w:hint="eastAsia" w:ascii="仿宋_GB2312" w:hAnsi="仿宋" w:eastAsia="仿宋_GB2312" w:cs="仿宋"/>
                <w:b w:val="0"/>
                <w:bCs w:val="0"/>
                <w:kern w:val="0"/>
                <w:sz w:val="21"/>
                <w:szCs w:val="21"/>
                <w:lang w:val="en-US" w:eastAsia="zh-CN"/>
              </w:rPr>
              <w:t>党组织建设</w:t>
            </w:r>
          </w:p>
        </w:tc>
        <w:tc>
          <w:tcPr>
            <w:tcW w:w="874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default"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2.有3名以上正式党员，按规定建立党组织，按期换届。党员人数不足3名或者暂不具备建立党组织条件的，依规开展党的工作；管理体制清晰，隶属关系明确，组织体系健全，按规定配备党组织负责人和党务工作者。</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default" w:ascii="仿宋_GB2312" w:hAnsi="仿宋" w:cs="仿宋"/>
                <w:b w:val="0"/>
                <w:bCs w:val="0"/>
                <w:sz w:val="21"/>
                <w:szCs w:val="21"/>
                <w:lang w:val="en-US" w:eastAsia="zh-CN"/>
              </w:rPr>
            </w:pPr>
            <w:r>
              <w:rPr>
                <w:rFonts w:hint="eastAsia" w:ascii="仿宋_GB2312" w:hAnsi="仿宋" w:cs="仿宋"/>
                <w:b w:val="0"/>
                <w:bCs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查看资料</w:t>
            </w:r>
          </w:p>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 w:cs="仿宋"/>
                <w:b w:val="0"/>
                <w:bCs w:val="0"/>
                <w:sz w:val="21"/>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 w:cs="仿宋"/>
                <w:b w:val="0"/>
                <w:bCs w:val="0"/>
                <w:sz w:val="21"/>
                <w:szCs w:val="21"/>
              </w:rPr>
            </w:pPr>
          </w:p>
        </w:tc>
      </w:tr>
      <w:tr>
        <w:trPr>
          <w:trHeight w:val="90" w:hRule="atLeast"/>
        </w:trPr>
        <w:tc>
          <w:tcPr>
            <w:tcW w:w="979" w:type="dxa"/>
            <w:vMerge w:val="continue"/>
            <w:tcBorders>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default"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1.3党组织作用发挥</w:t>
            </w:r>
          </w:p>
        </w:tc>
        <w:tc>
          <w:tcPr>
            <w:tcW w:w="874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3.充分发挥党组织政治核心作用、战斗堡垒作用。在园所的章程中要明确党组织的设置形式、地位作用、职责权限、参与决策机制和党务工作机构、人员配备、经费保障等内容</w:t>
            </w:r>
            <w:r>
              <w:rPr>
                <w:rFonts w:hint="eastAsia" w:ascii="仿宋_GB2312" w:hAnsi="仿宋" w:cs="仿宋"/>
                <w:b w:val="0"/>
                <w:bCs w:val="0"/>
                <w:kern w:val="0"/>
                <w:sz w:val="21"/>
                <w:szCs w:val="21"/>
                <w:lang w:val="en-US" w:eastAsia="zh-CN"/>
              </w:rPr>
              <w:t>。</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default" w:ascii="仿宋_GB2312" w:hAnsi="仿宋" w:cs="仿宋"/>
                <w:b w:val="0"/>
                <w:bCs w:val="0"/>
                <w:sz w:val="21"/>
                <w:szCs w:val="21"/>
                <w:lang w:val="en-US" w:eastAsia="zh-CN"/>
              </w:rPr>
            </w:pPr>
            <w:r>
              <w:rPr>
                <w:rFonts w:hint="eastAsia" w:ascii="仿宋_GB2312" w:hAnsi="仿宋" w:cs="仿宋"/>
                <w:b w:val="0"/>
                <w:bCs w:val="0"/>
                <w:sz w:val="21"/>
                <w:szCs w:val="21"/>
                <w:lang w:val="en-US" w:eastAsia="zh-CN"/>
              </w:rPr>
              <w:t>2分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查看资料</w:t>
            </w:r>
          </w:p>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 w:cs="仿宋"/>
                <w:b w:val="0"/>
                <w:bCs w:val="0"/>
                <w:sz w:val="21"/>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 w:cs="仿宋"/>
                <w:b w:val="0"/>
                <w:bCs w:val="0"/>
                <w:sz w:val="21"/>
                <w:szCs w:val="21"/>
              </w:rPr>
            </w:pPr>
          </w:p>
        </w:tc>
      </w:tr>
      <w:tr>
        <w:trPr>
          <w:trHeight w:val="90" w:hRule="atLeast"/>
        </w:trPr>
        <w:tc>
          <w:tcPr>
            <w:tcW w:w="979" w:type="dxa"/>
            <w:vMerge w:val="restart"/>
            <w:tcBorders>
              <w:top w:val="single" w:color="000000" w:sz="4" w:space="0"/>
              <w:left w:val="single" w:color="000000" w:sz="4" w:space="0"/>
              <w:right w:val="single" w:color="000000" w:sz="4" w:space="0"/>
            </w:tcBorders>
            <w:vAlign w:val="center"/>
          </w:tcPr>
          <w:p>
            <w:pPr>
              <w:numPr>
                <w:ilvl w:val="0"/>
                <w:numId w:val="1"/>
              </w:numPr>
              <w:spacing w:line="240" w:lineRule="auto"/>
              <w:ind w:left="0" w:leftChars="0" w:firstLine="0" w:firstLineChars="0"/>
              <w:jc w:val="center"/>
              <w:rPr>
                <w:rFonts w:hint="eastAsia" w:ascii="仿宋_GB2312" w:hAnsi="仿宋" w:cs="仿宋"/>
                <w:b w:val="0"/>
                <w:bCs w:val="0"/>
                <w:kern w:val="0"/>
                <w:sz w:val="21"/>
                <w:szCs w:val="21"/>
                <w:lang w:val="en-US" w:eastAsia="zh-CN"/>
              </w:rPr>
            </w:pPr>
            <w:r>
              <w:rPr>
                <w:rFonts w:hint="eastAsia" w:ascii="仿宋_GB2312" w:hAnsi="仿宋" w:cs="仿宋"/>
                <w:b w:val="0"/>
                <w:bCs w:val="0"/>
                <w:kern w:val="0"/>
                <w:sz w:val="21"/>
                <w:szCs w:val="21"/>
                <w:lang w:val="en-US" w:eastAsia="zh-CN"/>
              </w:rPr>
              <w:t>基本</w:t>
            </w:r>
          </w:p>
          <w:p>
            <w:pPr>
              <w:numPr>
                <w:numId w:val="0"/>
              </w:numPr>
              <w:spacing w:line="240" w:lineRule="auto"/>
              <w:ind w:leftChars="0"/>
              <w:jc w:val="both"/>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办园条件</w:t>
            </w:r>
          </w:p>
          <w:p>
            <w:pPr>
              <w:numPr>
                <w:numId w:val="0"/>
              </w:numPr>
              <w:spacing w:line="240" w:lineRule="auto"/>
              <w:ind w:leftChars="0"/>
              <w:jc w:val="center"/>
              <w:rPr>
                <w:rFonts w:hint="eastAsia"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（20分）</w:t>
            </w:r>
          </w:p>
        </w:tc>
        <w:tc>
          <w:tcPr>
            <w:tcW w:w="827"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2.1</w:t>
            </w:r>
          </w:p>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园所</w:t>
            </w:r>
            <w:r>
              <w:rPr>
                <w:rFonts w:hint="eastAsia" w:ascii="仿宋_GB2312" w:hAnsi="仿宋" w:cs="仿宋"/>
                <w:b w:val="0"/>
                <w:bCs w:val="0"/>
                <w:kern w:val="0"/>
                <w:sz w:val="21"/>
                <w:szCs w:val="21"/>
                <w:lang w:val="en-US" w:eastAsia="zh-CN"/>
              </w:rPr>
              <w:t xml:space="preserve">   </w:t>
            </w:r>
            <w:r>
              <w:rPr>
                <w:rFonts w:hint="eastAsia" w:ascii="仿宋_GB2312" w:hAnsi="仿宋" w:eastAsia="仿宋_GB2312" w:cs="仿宋"/>
                <w:b w:val="0"/>
                <w:bCs w:val="0"/>
                <w:kern w:val="0"/>
                <w:sz w:val="21"/>
                <w:szCs w:val="21"/>
                <w:lang w:val="en-US" w:eastAsia="zh-CN"/>
              </w:rPr>
              <w:t>建筑</w:t>
            </w:r>
          </w:p>
        </w:tc>
        <w:tc>
          <w:tcPr>
            <w:tcW w:w="874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4.幼儿园应设置在安全区域，日照充足，场地平整、空气流通，所处环境无污染源，周边无安全隐患。</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p>
        </w:tc>
      </w:tr>
      <w:tr>
        <w:trPr>
          <w:trHeight w:val="328" w:hRule="atLeast"/>
        </w:trPr>
        <w:tc>
          <w:tcPr>
            <w:tcW w:w="979" w:type="dxa"/>
            <w:vMerge w:val="continue"/>
            <w:tcBorders>
              <w:left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p>
        </w:tc>
        <w:tc>
          <w:tcPr>
            <w:tcW w:w="827" w:type="dxa"/>
            <w:vMerge w:val="continue"/>
            <w:tcBorders>
              <w:left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p>
        </w:tc>
        <w:tc>
          <w:tcPr>
            <w:tcW w:w="874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5.有独立的园舍、场地，产权明晰；有围墙、大门和传达（安保）室，功能分区明确，布局合理</w:t>
            </w:r>
            <w:r>
              <w:rPr>
                <w:rFonts w:hint="eastAsia" w:ascii="仿宋_GB2312" w:hAnsi="仿宋" w:cs="仿宋"/>
                <w:b w:val="0"/>
                <w:bCs w:val="0"/>
                <w:kern w:val="0"/>
                <w:sz w:val="21"/>
                <w:szCs w:val="21"/>
                <w:lang w:val="en-US" w:eastAsia="zh-CN"/>
              </w:rPr>
              <w:t>，</w:t>
            </w:r>
            <w:r>
              <w:rPr>
                <w:rFonts w:hint="eastAsia" w:ascii="仿宋_GB2312" w:hAnsi="仿宋" w:eastAsia="仿宋_GB2312" w:cs="仿宋"/>
                <w:b w:val="0"/>
                <w:bCs w:val="0"/>
                <w:kern w:val="0"/>
                <w:sz w:val="21"/>
                <w:szCs w:val="21"/>
                <w:lang w:val="en-US" w:eastAsia="zh-CN"/>
              </w:rPr>
              <w:t>无危房。</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p>
        </w:tc>
      </w:tr>
      <w:tr>
        <w:trPr>
          <w:trHeight w:val="563" w:hRule="atLeast"/>
        </w:trPr>
        <w:tc>
          <w:tcPr>
            <w:tcW w:w="979" w:type="dxa"/>
            <w:vMerge w:val="continue"/>
            <w:tcBorders>
              <w:left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p>
        </w:tc>
        <w:tc>
          <w:tcPr>
            <w:tcW w:w="827" w:type="dxa"/>
            <w:vMerge w:val="continue"/>
            <w:tcBorders>
              <w:left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p>
        </w:tc>
        <w:tc>
          <w:tcPr>
            <w:tcW w:w="874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6.幼儿园建筑应符合国家和省现行的规划、消防、抗震、安全、环保、卫生等有关规定,建筑总体规划，建筑形式、风格和室内设计应符合幼儿的心理和生理特点。</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查阅资料</w:t>
            </w:r>
          </w:p>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p>
        </w:tc>
      </w:tr>
    </w:tbl>
    <w:p>
      <w:pPr>
        <w:autoSpaceDN w:val="0"/>
        <w:jc w:val="center"/>
        <w:rPr>
          <w:rFonts w:hint="eastAsia" w:eastAsia="方正小标宋简体"/>
          <w:color w:val="000000"/>
          <w:kern w:val="0"/>
          <w:sz w:val="36"/>
          <w:szCs w:val="36"/>
          <w:lang w:eastAsia="zh-CN"/>
        </w:rPr>
      </w:pPr>
    </w:p>
    <w:tbl>
      <w:tblPr>
        <w:tblW w:w="14011"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28" w:type="dxa"/>
          <w:left w:w="57" w:type="dxa"/>
          <w:bottom w:w="28" w:type="dxa"/>
          <w:right w:w="57" w:type="dxa"/>
        </w:tblCellMar>
      </w:tblPr>
      <w:tblGrid>
        <w:gridCol w:w="958"/>
        <w:gridCol w:w="900"/>
        <w:gridCol w:w="8690"/>
        <w:gridCol w:w="734"/>
        <w:gridCol w:w="1086"/>
        <w:gridCol w:w="911"/>
        <w:gridCol w:w="732"/>
      </w:tblGrid>
      <w:tr>
        <w:trPr>
          <w:trHeight w:val="52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黑体" w:eastAsia="黑体"/>
                <w:b w:val="0"/>
                <w:bCs w:val="0"/>
                <w:sz w:val="21"/>
                <w:szCs w:val="21"/>
              </w:rPr>
            </w:pPr>
            <w:r>
              <w:rPr>
                <w:rFonts w:hint="eastAsia" w:ascii="黑体" w:eastAsia="黑体"/>
                <w:b w:val="0"/>
                <w:bCs w:val="0"/>
                <w:sz w:val="21"/>
                <w:szCs w:val="21"/>
                <w:lang w:eastAsia="zh-CN"/>
              </w:rPr>
              <w:t>一</w:t>
            </w:r>
            <w:r>
              <w:rPr>
                <w:rFonts w:hint="eastAsia" w:ascii="黑体" w:eastAsia="黑体"/>
                <w:b w:val="0"/>
                <w:bCs w:val="0"/>
                <w:sz w:val="21"/>
                <w:szCs w:val="21"/>
              </w:rPr>
              <w:t>级</w:t>
            </w:r>
          </w:p>
          <w:p>
            <w:pPr>
              <w:snapToGrid w:val="0"/>
              <w:spacing w:line="240" w:lineRule="exact"/>
              <w:jc w:val="center"/>
              <w:rPr>
                <w:rFonts w:eastAsia="宋体"/>
                <w:b/>
                <w:bCs/>
                <w:sz w:val="21"/>
                <w:szCs w:val="21"/>
              </w:rPr>
            </w:pPr>
            <w:r>
              <w:rPr>
                <w:rFonts w:hint="eastAsia" w:ascii="黑体" w:eastAsia="黑体"/>
                <w:b w:val="0"/>
                <w:bCs w:val="0"/>
                <w:sz w:val="21"/>
                <w:szCs w:val="21"/>
              </w:rPr>
              <w:t>指标</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黑体" w:eastAsia="黑体"/>
                <w:b w:val="0"/>
                <w:bCs w:val="0"/>
                <w:sz w:val="21"/>
                <w:szCs w:val="21"/>
              </w:rPr>
            </w:pPr>
            <w:r>
              <w:rPr>
                <w:rFonts w:hint="eastAsia" w:ascii="黑体" w:eastAsia="黑体"/>
                <w:b w:val="0"/>
                <w:bCs w:val="0"/>
                <w:sz w:val="21"/>
                <w:szCs w:val="21"/>
                <w:lang w:eastAsia="zh-CN"/>
              </w:rPr>
              <w:t>二</w:t>
            </w:r>
            <w:r>
              <w:rPr>
                <w:rFonts w:hint="eastAsia" w:ascii="黑体" w:eastAsia="黑体"/>
                <w:b w:val="0"/>
                <w:bCs w:val="0"/>
                <w:sz w:val="21"/>
                <w:szCs w:val="21"/>
              </w:rPr>
              <w:t>级</w:t>
            </w:r>
          </w:p>
          <w:p>
            <w:pPr>
              <w:snapToGrid w:val="0"/>
              <w:spacing w:line="240" w:lineRule="exact"/>
              <w:jc w:val="center"/>
              <w:rPr>
                <w:rFonts w:eastAsia="宋体"/>
                <w:b/>
                <w:bCs/>
                <w:sz w:val="21"/>
                <w:szCs w:val="21"/>
              </w:rPr>
            </w:pPr>
            <w:r>
              <w:rPr>
                <w:rFonts w:hint="eastAsia" w:ascii="黑体" w:eastAsia="黑体"/>
                <w:b w:val="0"/>
                <w:bCs w:val="0"/>
                <w:sz w:val="21"/>
                <w:szCs w:val="21"/>
              </w:rPr>
              <w:t>指标</w:t>
            </w:r>
          </w:p>
        </w:tc>
        <w:tc>
          <w:tcPr>
            <w:tcW w:w="8690"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eastAsia="宋体"/>
                <w:b/>
                <w:bCs/>
                <w:sz w:val="21"/>
                <w:szCs w:val="21"/>
                <w:lang w:eastAsia="zh-CN"/>
              </w:rPr>
            </w:pPr>
            <w:r>
              <w:rPr>
                <w:rFonts w:hint="eastAsia" w:eastAsia="宋体"/>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eastAsia="宋体"/>
                <w:b/>
                <w:bCs/>
                <w:sz w:val="21"/>
                <w:szCs w:val="21"/>
              </w:rPr>
            </w:pPr>
            <w:r>
              <w:rPr>
                <w:rFonts w:eastAsia="宋体"/>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both"/>
              <w:rPr>
                <w:rFonts w:hint="eastAsia" w:eastAsia="宋体"/>
                <w:b/>
                <w:bCs/>
                <w:sz w:val="21"/>
                <w:szCs w:val="21"/>
                <w:lang w:eastAsia="zh-CN"/>
              </w:rPr>
            </w:pPr>
            <w:r>
              <w:rPr>
                <w:rFonts w:hint="eastAsia" w:eastAsia="宋体"/>
                <w:b/>
                <w:bCs/>
                <w:sz w:val="21"/>
                <w:szCs w:val="21"/>
                <w:lang w:val="en-US" w:eastAsia="zh-CN"/>
              </w:rPr>
              <w:t xml:space="preserve"> </w:t>
            </w:r>
            <w:r>
              <w:rPr>
                <w:rFonts w:hint="eastAsia" w:eastAsia="宋体"/>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eastAsia="宋体"/>
                <w:b/>
                <w:bCs/>
                <w:sz w:val="21"/>
                <w:szCs w:val="21"/>
                <w:lang w:eastAsia="zh-CN"/>
              </w:rPr>
            </w:pPr>
            <w:r>
              <w:rPr>
                <w:rFonts w:hint="eastAsia" w:eastAsia="宋体"/>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eastAsia="宋体"/>
                <w:b/>
                <w:bCs/>
                <w:sz w:val="21"/>
                <w:szCs w:val="21"/>
                <w:lang w:eastAsia="zh-CN"/>
              </w:rPr>
            </w:pPr>
            <w:r>
              <w:rPr>
                <w:rFonts w:hint="eastAsia" w:eastAsia="宋体"/>
                <w:b/>
                <w:bCs/>
                <w:sz w:val="21"/>
                <w:szCs w:val="21"/>
                <w:lang w:eastAsia="zh-CN"/>
              </w:rPr>
              <w:t>备注</w:t>
            </w:r>
          </w:p>
        </w:tc>
      </w:tr>
      <w:tr>
        <w:trPr>
          <w:trHeight w:val="582" w:hRule="atLeast"/>
        </w:trPr>
        <w:tc>
          <w:tcPr>
            <w:tcW w:w="958" w:type="dxa"/>
            <w:vMerge w:val="restart"/>
            <w:tcBorders>
              <w:top w:val="single" w:color="000000" w:sz="4" w:space="0"/>
              <w:left w:val="single" w:color="000000" w:sz="4" w:space="0"/>
              <w:right w:val="single" w:color="000000" w:sz="4" w:space="0"/>
            </w:tcBorders>
            <w:vAlign w:val="center"/>
          </w:tcPr>
          <w:p>
            <w:pPr>
              <w:numPr>
                <w:numId w:val="0"/>
              </w:numPr>
              <w:spacing w:line="240" w:lineRule="auto"/>
              <w:ind w:leftChars="0"/>
              <w:jc w:val="left"/>
              <w:rPr>
                <w:rFonts w:hint="eastAsia"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二、</w:t>
            </w:r>
            <w:r>
              <w:rPr>
                <w:rFonts w:hint="eastAsia" w:ascii="仿宋_GB2312" w:hAnsi="仿宋" w:eastAsia="仿宋_GB2312" w:cs="仿宋"/>
                <w:b w:val="0"/>
                <w:bCs w:val="0"/>
                <w:kern w:val="0"/>
                <w:sz w:val="21"/>
                <w:szCs w:val="21"/>
                <w:lang w:val="en-US" w:eastAsia="zh-CN"/>
              </w:rPr>
              <w:t>基本</w:t>
            </w:r>
          </w:p>
          <w:p>
            <w:pPr>
              <w:numPr>
                <w:numId w:val="0"/>
              </w:numPr>
              <w:spacing w:line="240" w:lineRule="auto"/>
              <w:ind w:leftChars="0"/>
              <w:jc w:val="left"/>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办园条件</w:t>
            </w:r>
          </w:p>
          <w:p>
            <w:pPr>
              <w:numPr>
                <w:numId w:val="0"/>
              </w:numPr>
              <w:spacing w:line="240" w:lineRule="auto"/>
              <w:ind w:leftChars="0"/>
              <w:jc w:val="left"/>
              <w:rPr>
                <w:rFonts w:hint="eastAsia"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（20分）</w:t>
            </w:r>
          </w:p>
        </w:tc>
        <w:tc>
          <w:tcPr>
            <w:tcW w:w="900"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2.1</w:t>
            </w:r>
          </w:p>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园所</w:t>
            </w:r>
          </w:p>
          <w:p>
            <w:pPr>
              <w:spacing w:line="240" w:lineRule="auto"/>
              <w:jc w:val="center"/>
              <w:rPr>
                <w:rFonts w:hint="default"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建筑</w:t>
            </w:r>
          </w:p>
        </w:tc>
        <w:tc>
          <w:tcPr>
            <w:tcW w:w="8690" w:type="dxa"/>
            <w:tcBorders>
              <w:top w:val="single" w:color="000000" w:sz="4" w:space="0"/>
              <w:left w:val="single" w:color="000000" w:sz="4" w:space="0"/>
              <w:bottom w:val="single" w:color="000000" w:sz="4" w:space="0"/>
              <w:right w:val="single" w:color="000000" w:sz="4" w:space="0"/>
            </w:tcBorders>
            <w:vAlign w:val="center"/>
          </w:tcPr>
          <w:p>
            <w:pPr>
              <w:numPr>
                <w:numId w:val="0"/>
              </w:numPr>
              <w:spacing w:line="240" w:lineRule="auto"/>
              <w:ind w:left="0" w:leftChars="0" w:firstLine="0" w:firstLineChars="0"/>
              <w:jc w:val="left"/>
              <w:rPr>
                <w:rFonts w:hint="eastAsia"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7.</w:t>
            </w:r>
            <w:r>
              <w:rPr>
                <w:rFonts w:hint="eastAsia" w:ascii="仿宋_GB2312" w:hAnsi="仿宋" w:eastAsia="仿宋_GB2312" w:cs="仿宋"/>
                <w:b w:val="0"/>
                <w:bCs w:val="0"/>
                <w:kern w:val="0"/>
                <w:sz w:val="21"/>
                <w:szCs w:val="21"/>
                <w:lang w:val="en-US" w:eastAsia="zh-CN"/>
              </w:rPr>
              <w:t>幼儿活动室、寝室与卫生间应成套设置或毗邻设置</w:t>
            </w:r>
            <w:r>
              <w:rPr>
                <w:rFonts w:hint="eastAsia" w:ascii="仿宋_GB2312" w:hAnsi="仿宋" w:cs="仿宋"/>
                <w:b w:val="0"/>
                <w:bCs w:val="0"/>
                <w:kern w:val="0"/>
                <w:sz w:val="21"/>
                <w:szCs w:val="21"/>
                <w:lang w:val="en-US" w:eastAsia="zh-CN"/>
              </w:rPr>
              <w:t>，</w:t>
            </w:r>
            <w:r>
              <w:rPr>
                <w:rFonts w:hint="eastAsia" w:ascii="仿宋_GB2312" w:hAnsi="仿宋" w:eastAsia="仿宋_GB2312" w:cs="仿宋"/>
                <w:b w:val="0"/>
                <w:bCs w:val="0"/>
                <w:kern w:val="0"/>
                <w:sz w:val="21"/>
                <w:szCs w:val="21"/>
                <w:lang w:val="en-US" w:eastAsia="zh-CN"/>
              </w:rPr>
              <w:t>盥洗室应相对独立</w:t>
            </w:r>
            <w:r>
              <w:rPr>
                <w:rFonts w:hint="eastAsia" w:ascii="仿宋_GB2312" w:hAnsi="仿宋" w:cs="仿宋"/>
                <w:b w:val="0"/>
                <w:bCs w:val="0"/>
                <w:kern w:val="0"/>
                <w:sz w:val="21"/>
                <w:szCs w:val="21"/>
                <w:lang w:val="en-US" w:eastAsia="zh-CN"/>
              </w:rPr>
              <w:t>，</w:t>
            </w:r>
            <w:r>
              <w:rPr>
                <w:rFonts w:hint="eastAsia" w:ascii="仿宋_GB2312" w:hAnsi="仿宋" w:eastAsia="仿宋_GB2312" w:cs="仿宋"/>
                <w:b w:val="0"/>
                <w:bCs w:val="0"/>
                <w:kern w:val="0"/>
                <w:sz w:val="21"/>
                <w:szCs w:val="21"/>
                <w:lang w:val="en-US" w:eastAsia="zh-CN"/>
              </w:rPr>
              <w:t>盥洗室配备与儿童的身高、数量相适应的梳洗镜、洗手盆和防溅水龙头</w:t>
            </w:r>
            <w:r>
              <w:rPr>
                <w:rFonts w:hint="eastAsia" w:ascii="仿宋_GB2312" w:hAnsi="仿宋" w:cs="仿宋"/>
                <w:b w:val="0"/>
                <w:bCs w:val="0"/>
                <w:kern w:val="0"/>
                <w:sz w:val="21"/>
                <w:szCs w:val="21"/>
                <w:lang w:val="en-US" w:eastAsia="zh-CN"/>
              </w:rPr>
              <w:t>（0.5分）。</w:t>
            </w:r>
            <w:r>
              <w:rPr>
                <w:rFonts w:hint="eastAsia" w:ascii="仿宋_GB2312" w:hAnsi="仿宋" w:eastAsia="仿宋_GB2312" w:cs="仿宋"/>
                <w:b w:val="0"/>
                <w:bCs w:val="0"/>
                <w:kern w:val="0"/>
                <w:sz w:val="21"/>
                <w:szCs w:val="21"/>
                <w:lang w:val="en-US" w:eastAsia="zh-CN"/>
              </w:rPr>
              <w:t>与活动室配套设置的卫生间应包括盥洗室和厕所,并分间或分隔,通风良好,地面应防滑、易清洗；单独设置的卫生间(幼儿厕所)应采用水冲式,其蹲位设置应注重安全,方便且满足幼儿入厕需要,并配备流水洗手设施</w:t>
            </w:r>
            <w:r>
              <w:rPr>
                <w:rFonts w:hint="eastAsia" w:ascii="仿宋_GB2312" w:hAnsi="仿宋" w:cs="仿宋"/>
                <w:b w:val="0"/>
                <w:bCs w:val="0"/>
                <w:kern w:val="0"/>
                <w:sz w:val="21"/>
                <w:szCs w:val="21"/>
                <w:lang w:val="en-US" w:eastAsia="zh-CN"/>
              </w:rPr>
              <w:t>；</w:t>
            </w:r>
            <w:r>
              <w:rPr>
                <w:rFonts w:hint="eastAsia" w:ascii="仿宋_GB2312" w:hAnsi="仿宋" w:eastAsia="仿宋_GB2312" w:cs="仿宋"/>
                <w:b w:val="0"/>
                <w:bCs w:val="0"/>
                <w:kern w:val="0"/>
                <w:sz w:val="21"/>
                <w:szCs w:val="21"/>
                <w:lang w:val="en-US" w:eastAsia="zh-CN"/>
              </w:rPr>
              <w:t>幼儿卫生间与成人卫生间分开</w:t>
            </w:r>
            <w:r>
              <w:rPr>
                <w:rFonts w:hint="eastAsia" w:ascii="仿宋_GB2312" w:hAnsi="仿宋" w:cs="仿宋"/>
                <w:b w:val="0"/>
                <w:bCs w:val="0"/>
                <w:kern w:val="0"/>
                <w:sz w:val="21"/>
                <w:szCs w:val="21"/>
                <w:lang w:val="en-US" w:eastAsia="zh-CN"/>
              </w:rPr>
              <w:t>（0.5分）</w:t>
            </w:r>
            <w:r>
              <w:rPr>
                <w:rFonts w:hint="eastAsia" w:ascii="仿宋_GB2312" w:hAnsi="仿宋" w:eastAsia="仿宋_GB2312" w:cs="仿宋"/>
                <w:b w:val="0"/>
                <w:bCs w:val="0"/>
                <w:kern w:val="0"/>
                <w:sz w:val="21"/>
                <w:szCs w:val="21"/>
                <w:lang w:val="en-US" w:eastAsia="zh-CN"/>
              </w:rPr>
              <w:t>。</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p>
        </w:tc>
      </w:tr>
      <w:tr>
        <w:trPr>
          <w:trHeight w:val="582" w:hRule="atLeast"/>
        </w:trPr>
        <w:tc>
          <w:tcPr>
            <w:tcW w:w="958" w:type="dxa"/>
            <w:vMerge w:val="continue"/>
            <w:tcBorders>
              <w:left w:val="single" w:color="000000" w:sz="4" w:space="0"/>
              <w:right w:val="single" w:color="000000" w:sz="4" w:space="0"/>
            </w:tcBorders>
            <w:vAlign w:val="center"/>
          </w:tcPr>
          <w:p>
            <w:pPr>
              <w:numPr>
                <w:numId w:val="0"/>
              </w:numPr>
              <w:spacing w:line="240" w:lineRule="auto"/>
              <w:ind w:leftChars="0"/>
              <w:jc w:val="left"/>
              <w:rPr>
                <w:rFonts w:hint="eastAsia" w:ascii="仿宋_GB2312" w:hAnsi="仿宋" w:eastAsia="仿宋_GB2312" w:cs="仿宋"/>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center"/>
              <w:rPr>
                <w:rFonts w:hint="default" w:ascii="仿宋_GB2312" w:hAnsi="仿宋" w:eastAsia="仿宋_GB2312" w:cs="仿宋"/>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8.</w:t>
            </w:r>
            <w:r>
              <w:rPr>
                <w:rFonts w:hint="eastAsia" w:ascii="仿宋_GB2312" w:hAnsi="仿宋" w:eastAsia="仿宋_GB2312" w:cs="仿宋"/>
                <w:b w:val="0"/>
                <w:bCs w:val="0"/>
                <w:kern w:val="0"/>
                <w:sz w:val="21"/>
                <w:szCs w:val="21"/>
                <w:lang w:val="en-US" w:eastAsia="zh-CN"/>
              </w:rPr>
              <w:t>按科学规范的流程标准设置炊事员更衣室、主食仓库、副食仓库、加工间、面案间、烹饪间、配餐间、消毒间等。</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仿宋_GB2312" w:hAnsi="仿宋" w:cs="仿宋"/>
                <w:b w:val="0"/>
                <w:bCs w:val="0"/>
                <w:kern w:val="0"/>
                <w:sz w:val="21"/>
                <w:szCs w:val="21"/>
                <w:lang w:val="en-US" w:eastAsia="zh-CN"/>
              </w:rPr>
            </w:pPr>
            <w:r>
              <w:rPr>
                <w:rFonts w:hint="eastAsia" w:ascii="仿宋_GB2312" w:hAnsi="仿宋" w:cs="仿宋"/>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 w:cs="仿宋"/>
                <w:b w:val="0"/>
                <w:bCs w:val="0"/>
                <w:sz w:val="21"/>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 w:cs="仿宋"/>
                <w:b w:val="0"/>
                <w:bCs w:val="0"/>
                <w:sz w:val="21"/>
                <w:szCs w:val="21"/>
              </w:rPr>
            </w:pPr>
          </w:p>
        </w:tc>
      </w:tr>
      <w:tr>
        <w:trPr>
          <w:trHeight w:val="582" w:hRule="atLeast"/>
        </w:trPr>
        <w:tc>
          <w:tcPr>
            <w:tcW w:w="958" w:type="dxa"/>
            <w:vMerge w:val="continue"/>
            <w:tcBorders>
              <w:left w:val="single" w:color="000000" w:sz="4" w:space="0"/>
              <w:right w:val="single" w:color="000000" w:sz="4" w:space="0"/>
            </w:tcBorders>
            <w:vAlign w:val="center"/>
          </w:tcPr>
          <w:p>
            <w:pPr>
              <w:numPr>
                <w:numId w:val="0"/>
              </w:numPr>
              <w:spacing w:line="240" w:lineRule="auto"/>
              <w:ind w:leftChars="0"/>
              <w:jc w:val="left"/>
              <w:rPr>
                <w:rFonts w:hint="eastAsia" w:ascii="仿宋_GB2312" w:hAnsi="仿宋" w:cs="仿宋"/>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9.</w:t>
            </w:r>
            <w:r>
              <w:rPr>
                <w:rFonts w:hint="eastAsia" w:ascii="仿宋_GB2312" w:hAnsi="仿宋" w:eastAsia="仿宋_GB2312" w:cs="仿宋"/>
                <w:b w:val="0"/>
                <w:bCs w:val="0"/>
                <w:kern w:val="0"/>
                <w:sz w:val="21"/>
                <w:szCs w:val="21"/>
                <w:lang w:val="en-US" w:eastAsia="zh-CN"/>
              </w:rPr>
              <w:t>幼儿活动用房</w:t>
            </w:r>
            <w:r>
              <w:rPr>
                <w:rFonts w:hint="eastAsia" w:ascii="仿宋_GB2312" w:hAnsi="仿宋" w:cs="仿宋"/>
                <w:b w:val="0"/>
                <w:bCs w:val="0"/>
                <w:kern w:val="0"/>
                <w:sz w:val="21"/>
                <w:szCs w:val="21"/>
                <w:lang w:val="en-US" w:eastAsia="zh-CN"/>
              </w:rPr>
              <w:t>、</w:t>
            </w:r>
            <w:r>
              <w:rPr>
                <w:rFonts w:hint="eastAsia" w:ascii="仿宋_GB2312" w:hAnsi="仿宋" w:eastAsia="仿宋_GB2312" w:cs="仿宋"/>
                <w:b w:val="0"/>
                <w:bCs w:val="0"/>
                <w:kern w:val="0"/>
                <w:sz w:val="21"/>
                <w:szCs w:val="21"/>
                <w:lang w:val="en-US" w:eastAsia="zh-CN"/>
              </w:rPr>
              <w:t>厨房、开水间、洗消间不得设置在地下室或半地下室，幼儿活动用房未布置在四层及以上</w:t>
            </w:r>
            <w:r>
              <w:rPr>
                <w:rFonts w:hint="eastAsia" w:ascii="仿宋_GB2312" w:hAnsi="仿宋" w:cs="仿宋"/>
                <w:b w:val="0"/>
                <w:bCs w:val="0"/>
                <w:kern w:val="0"/>
                <w:sz w:val="21"/>
                <w:szCs w:val="21"/>
                <w:lang w:val="en-US" w:eastAsia="zh-CN"/>
              </w:rPr>
              <w:t>（0.5分）</w:t>
            </w:r>
            <w:r>
              <w:rPr>
                <w:rFonts w:hint="eastAsia" w:ascii="仿宋_GB2312" w:hAnsi="仿宋" w:eastAsia="仿宋_GB2312" w:cs="仿宋"/>
                <w:b w:val="0"/>
                <w:bCs w:val="0"/>
                <w:kern w:val="0"/>
                <w:sz w:val="21"/>
                <w:szCs w:val="21"/>
                <w:lang w:val="en-US" w:eastAsia="zh-CN"/>
              </w:rPr>
              <w:t>。幼儿园活动室使用面积应不低于45平方米,寝教合一的应按两者面积之和的80%计算</w:t>
            </w:r>
            <w:r>
              <w:rPr>
                <w:rFonts w:hint="eastAsia" w:ascii="仿宋_GB2312" w:hAnsi="仿宋" w:cs="仿宋"/>
                <w:b w:val="0"/>
                <w:bCs w:val="0"/>
                <w:kern w:val="0"/>
                <w:sz w:val="21"/>
                <w:szCs w:val="21"/>
                <w:lang w:val="en-US" w:eastAsia="zh-CN"/>
              </w:rPr>
              <w:t>（0.5分）。</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仿宋_GB2312" w:hAnsi="仿宋" w:cs="仿宋"/>
                <w:b w:val="0"/>
                <w:bCs w:val="0"/>
                <w:kern w:val="0"/>
                <w:sz w:val="21"/>
                <w:szCs w:val="21"/>
                <w:lang w:val="en-US" w:eastAsia="zh-CN"/>
              </w:rPr>
            </w:pPr>
            <w:r>
              <w:rPr>
                <w:rFonts w:hint="eastAsia" w:ascii="仿宋_GB2312" w:hAnsi="仿宋" w:cs="仿宋"/>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 w:cs="仿宋"/>
                <w:b w:val="0"/>
                <w:bCs w:val="0"/>
                <w:sz w:val="21"/>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 w:cs="仿宋"/>
                <w:b w:val="0"/>
                <w:bCs w:val="0"/>
                <w:sz w:val="21"/>
                <w:szCs w:val="21"/>
              </w:rPr>
            </w:pPr>
          </w:p>
        </w:tc>
      </w:tr>
      <w:tr>
        <w:trPr>
          <w:trHeight w:val="660" w:hRule="atLeast"/>
        </w:trPr>
        <w:tc>
          <w:tcPr>
            <w:tcW w:w="958" w:type="dxa"/>
            <w:vMerge w:val="continue"/>
            <w:tcBorders>
              <w:left w:val="single" w:color="000000" w:sz="4" w:space="0"/>
              <w:right w:val="single" w:color="000000" w:sz="4" w:space="0"/>
            </w:tcBorders>
            <w:vAlign w:val="center"/>
          </w:tcPr>
          <w:p>
            <w:pPr>
              <w:numPr>
                <w:numId w:val="0"/>
              </w:numPr>
              <w:spacing w:line="240" w:lineRule="auto"/>
              <w:ind w:leftChars="0"/>
              <w:jc w:val="left"/>
              <w:rPr>
                <w:rFonts w:hint="eastAsia" w:ascii="仿宋_GB2312" w:hAnsi="仿宋" w:eastAsia="仿宋_GB2312" w:cs="仿宋"/>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center"/>
              <w:rPr>
                <w:rFonts w:hint="default" w:ascii="仿宋_GB2312" w:hAnsi="仿宋" w:eastAsia="仿宋_GB2312" w:cs="仿宋"/>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10</w:t>
            </w:r>
            <w:r>
              <w:rPr>
                <w:rFonts w:hint="eastAsia" w:ascii="仿宋_GB2312" w:hAnsi="仿宋" w:eastAsia="仿宋_GB2312" w:cs="仿宋"/>
                <w:b w:val="0"/>
                <w:bCs w:val="0"/>
                <w:kern w:val="0"/>
                <w:sz w:val="21"/>
                <w:szCs w:val="21"/>
                <w:lang w:val="en-US" w:eastAsia="zh-CN"/>
              </w:rPr>
              <w:t>.有多功能活动室，且具备艺术活动、体育活动、游戏活动、观摩教学等综合性功能。有条件的幼儿园可根据幼儿兴趣和办园特色设置图书阅览室、科学发现室、美工室、建构室等专用活动室。</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 w:cs="仿宋"/>
                <w:b w:val="0"/>
                <w:bCs w:val="0"/>
                <w:sz w:val="21"/>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 w:cs="仿宋"/>
                <w:b w:val="0"/>
                <w:bCs w:val="0"/>
                <w:sz w:val="21"/>
                <w:szCs w:val="21"/>
              </w:rPr>
            </w:pPr>
          </w:p>
        </w:tc>
      </w:tr>
      <w:tr>
        <w:trPr>
          <w:trHeight w:val="90" w:hRule="atLeast"/>
        </w:trPr>
        <w:tc>
          <w:tcPr>
            <w:tcW w:w="958" w:type="dxa"/>
            <w:vMerge w:val="continue"/>
            <w:tcBorders>
              <w:left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p>
        </w:tc>
        <w:tc>
          <w:tcPr>
            <w:tcW w:w="900" w:type="dxa"/>
            <w:vMerge w:val="continue"/>
            <w:tcBorders>
              <w:left w:val="single" w:color="000000" w:sz="4" w:space="0"/>
              <w:bottom w:val="single" w:color="000000" w:sz="4" w:space="0"/>
              <w:right w:val="single" w:color="000000" w:sz="4" w:space="0"/>
            </w:tcBorders>
            <w:vAlign w:val="center"/>
          </w:tcPr>
          <w:p>
            <w:pPr>
              <w:spacing w:line="240" w:lineRule="auto"/>
              <w:jc w:val="left"/>
              <w:rPr>
                <w:rFonts w:hint="default" w:ascii="仿宋_GB2312" w:hAnsi="仿宋" w:eastAsia="仿宋_GB2312" w:cs="仿宋"/>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default"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11</w:t>
            </w:r>
            <w:r>
              <w:rPr>
                <w:rFonts w:hint="eastAsia" w:ascii="仿宋_GB2312" w:hAnsi="仿宋" w:eastAsia="仿宋_GB2312" w:cs="仿宋"/>
                <w:b w:val="0"/>
                <w:bCs w:val="0"/>
                <w:kern w:val="0"/>
                <w:sz w:val="21"/>
                <w:szCs w:val="21"/>
                <w:lang w:val="en-US" w:eastAsia="zh-CN"/>
              </w:rPr>
              <w:t>.有专用的保健室，设有晨检接待室。</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 w:cs="仿宋"/>
                <w:b w:val="0"/>
                <w:bCs w:val="0"/>
                <w:sz w:val="21"/>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 w:cs="仿宋"/>
                <w:b w:val="0"/>
                <w:bCs w:val="0"/>
                <w:sz w:val="21"/>
                <w:szCs w:val="21"/>
              </w:rPr>
            </w:pPr>
          </w:p>
        </w:tc>
      </w:tr>
      <w:tr>
        <w:trPr>
          <w:trHeight w:val="400" w:hRule="atLeast"/>
        </w:trPr>
        <w:tc>
          <w:tcPr>
            <w:tcW w:w="958" w:type="dxa"/>
            <w:vMerge w:val="continue"/>
            <w:tcBorders>
              <w:left w:val="single" w:color="000000" w:sz="4" w:space="0"/>
              <w:right w:val="single" w:color="000000" w:sz="4" w:space="0"/>
            </w:tcBorders>
            <w:vAlign w:val="center"/>
          </w:tcPr>
          <w:p>
            <w:pPr>
              <w:numPr>
                <w:numId w:val="0"/>
              </w:numPr>
              <w:spacing w:line="240" w:lineRule="auto"/>
              <w:ind w:leftChars="0"/>
              <w:jc w:val="left"/>
              <w:rPr>
                <w:rFonts w:hint="eastAsia" w:ascii="仿宋_GB2312" w:hAnsi="仿宋" w:eastAsia="仿宋_GB2312" w:cs="仿宋"/>
                <w:b w:val="0"/>
                <w:bCs w:val="0"/>
                <w:kern w:val="0"/>
                <w:sz w:val="21"/>
                <w:szCs w:val="21"/>
                <w:lang w:val="en-US" w:eastAsia="zh-CN"/>
              </w:rPr>
            </w:pPr>
          </w:p>
        </w:tc>
        <w:tc>
          <w:tcPr>
            <w:tcW w:w="900"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2.2</w:t>
            </w:r>
          </w:p>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设施</w:t>
            </w:r>
          </w:p>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设备</w:t>
            </w:r>
          </w:p>
          <w:p>
            <w:pPr>
              <w:spacing w:line="200" w:lineRule="exact"/>
              <w:jc w:val="center"/>
              <w:rPr>
                <w:rFonts w:hint="eastAsia" w:ascii="仿宋_GB2312" w:hAnsi="仿宋" w:eastAsia="仿宋_GB2312" w:cs="仿宋"/>
                <w:b w:val="0"/>
                <w:bCs w:val="0"/>
                <w:kern w:val="2"/>
                <w:sz w:val="21"/>
                <w:szCs w:val="21"/>
                <w:lang w:val="en-US" w:eastAsia="zh-CN" w:bidi="ar-SA"/>
              </w:rPr>
            </w:pPr>
          </w:p>
          <w:p>
            <w:pPr>
              <w:spacing w:line="240" w:lineRule="auto"/>
              <w:jc w:val="left"/>
              <w:rPr>
                <w:rFonts w:hint="eastAsia" w:ascii="仿宋_GB2312" w:hAnsi="仿宋" w:eastAsia="仿宋_GB2312" w:cs="仿宋"/>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12</w:t>
            </w:r>
            <w:r>
              <w:rPr>
                <w:rFonts w:hint="eastAsia" w:ascii="仿宋_GB2312" w:hAnsi="仿宋" w:eastAsia="仿宋_GB2312" w:cs="仿宋"/>
                <w:b w:val="0"/>
                <w:bCs w:val="0"/>
                <w:kern w:val="0"/>
                <w:sz w:val="21"/>
                <w:szCs w:val="21"/>
                <w:lang w:val="en-US" w:eastAsia="zh-CN"/>
              </w:rPr>
              <w:t>.幼儿园设施设备应符合国家安全和卫生标准,适应不同年龄儿童的生活能力、学习方式差异和行为反应水平,充分体现儿童积极探索、自主构建的主体地位,满足保育教育需要和儿童主动活动的需求</w:t>
            </w:r>
            <w:r>
              <w:rPr>
                <w:rFonts w:hint="eastAsia" w:ascii="仿宋_GB2312" w:hAnsi="仿宋" w:cs="仿宋"/>
                <w:b w:val="0"/>
                <w:bCs w:val="0"/>
                <w:kern w:val="0"/>
                <w:sz w:val="21"/>
                <w:szCs w:val="21"/>
                <w:lang w:val="en-US" w:eastAsia="zh-CN"/>
              </w:rPr>
              <w:t>。</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p>
        </w:tc>
      </w:tr>
      <w:tr>
        <w:trPr>
          <w:trHeight w:val="328" w:hRule="atLeast"/>
        </w:trPr>
        <w:tc>
          <w:tcPr>
            <w:tcW w:w="958" w:type="dxa"/>
            <w:vMerge w:val="continue"/>
            <w:tcBorders>
              <w:left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13</w:t>
            </w:r>
            <w:r>
              <w:rPr>
                <w:rFonts w:hint="eastAsia" w:ascii="仿宋_GB2312" w:hAnsi="仿宋" w:eastAsia="仿宋_GB2312" w:cs="仿宋"/>
                <w:b w:val="0"/>
                <w:bCs w:val="0"/>
                <w:kern w:val="0"/>
                <w:sz w:val="21"/>
                <w:szCs w:val="21"/>
                <w:lang w:val="en-US" w:eastAsia="zh-CN"/>
              </w:rPr>
              <w:t>.玩教具按照国家《幼儿园玩教具配备目录》等有关要求配备；要根据幼儿年龄特点和个体发展需要，按梯次配备玩教具；有条件的幼儿园可依据本园办园特色增配相应的玩教具和器材,配备的玩具必须通过国家强制性产品认证。</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实地查看</w:t>
            </w:r>
          </w:p>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p>
        </w:tc>
      </w:tr>
      <w:tr>
        <w:trPr>
          <w:trHeight w:val="90" w:hRule="atLeast"/>
        </w:trPr>
        <w:tc>
          <w:tcPr>
            <w:tcW w:w="958" w:type="dxa"/>
            <w:vMerge w:val="continue"/>
            <w:tcBorders>
              <w:left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rPr>
                <w:rFonts w:hint="eastAsia"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14</w:t>
            </w:r>
            <w:r>
              <w:rPr>
                <w:rFonts w:hint="eastAsia" w:ascii="仿宋_GB2312" w:hAnsi="仿宋" w:eastAsia="仿宋_GB2312" w:cs="仿宋"/>
                <w:b w:val="0"/>
                <w:bCs w:val="0"/>
                <w:kern w:val="0"/>
                <w:sz w:val="21"/>
                <w:szCs w:val="21"/>
                <w:lang w:val="en-US" w:eastAsia="zh-CN"/>
              </w:rPr>
              <w:t>.每班教学区配备有电子琴（或电钢琴）和多媒体教学设备（如音响、黑板、电子白板、投影仪、电脑等）。</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p>
        </w:tc>
      </w:tr>
      <w:tr>
        <w:trPr>
          <w:trHeight w:val="513" w:hRule="atLeast"/>
        </w:trPr>
        <w:tc>
          <w:tcPr>
            <w:tcW w:w="958" w:type="dxa"/>
            <w:vMerge w:val="continue"/>
            <w:tcBorders>
              <w:left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 w:eastAsia="仿宋_GB2312" w:cs="仿宋"/>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rPr>
                <w:rFonts w:hint="eastAsia"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15</w:t>
            </w:r>
            <w:r>
              <w:rPr>
                <w:rFonts w:hint="eastAsia" w:ascii="仿宋_GB2312" w:hAnsi="仿宋" w:eastAsia="仿宋_GB2312" w:cs="仿宋"/>
                <w:b w:val="0"/>
                <w:bCs w:val="0"/>
                <w:kern w:val="0"/>
                <w:sz w:val="21"/>
                <w:szCs w:val="21"/>
                <w:lang w:val="en-US" w:eastAsia="zh-CN"/>
              </w:rPr>
              <w:t>.幼儿桌椅应单人单椅,与幼儿身高相适应,使用环保材质,无尖锐棱角。</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default" w:ascii="仿宋_GB2312" w:hAnsi="仿宋" w:eastAsia="仿宋_GB2312" w:cs="仿宋"/>
                <w:b w:val="0"/>
                <w:bCs w:val="0"/>
                <w:kern w:val="0"/>
                <w:sz w:val="21"/>
                <w:szCs w:val="21"/>
                <w:lang w:val="en-US" w:eastAsia="zh-CN"/>
              </w:rPr>
            </w:pPr>
            <w:r>
              <w:rPr>
                <w:rFonts w:hint="eastAsia" w:ascii="仿宋_GB2312" w:hAnsi="仿宋" w:cs="仿宋"/>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r>
              <w:rPr>
                <w:rFonts w:hint="eastAsia" w:ascii="仿宋_GB2312" w:hAnsi="仿宋" w:eastAsia="仿宋_GB2312" w:cs="仿宋"/>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 w:eastAsia="仿宋_GB2312" w:cs="仿宋"/>
                <w:b w:val="0"/>
                <w:bCs w:val="0"/>
                <w:kern w:val="0"/>
                <w:sz w:val="21"/>
                <w:szCs w:val="21"/>
                <w:lang w:val="en-US" w:eastAsia="zh-CN"/>
              </w:rPr>
            </w:pPr>
          </w:p>
        </w:tc>
      </w:tr>
      <w:tr>
        <w:trPr>
          <w:trHeight w:val="9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eastAsia="宋体"/>
                <w:b/>
                <w:bCs/>
                <w:sz w:val="21"/>
                <w:szCs w:val="21"/>
              </w:rPr>
            </w:pPr>
            <w:r>
              <w:rPr>
                <w:rFonts w:hint="eastAsia" w:ascii="黑体" w:eastAsia="黑体"/>
                <w:b w:val="0"/>
                <w:bCs w:val="0"/>
                <w:sz w:val="21"/>
                <w:szCs w:val="21"/>
                <w:lang w:eastAsia="zh-CN"/>
              </w:rPr>
              <w:t>一</w:t>
            </w:r>
            <w:r>
              <w:rPr>
                <w:rFonts w:hint="eastAsia" w:ascii="黑体" w:eastAsia="黑体"/>
                <w:b w:val="0"/>
                <w:bCs w:val="0"/>
                <w:sz w:val="21"/>
                <w:szCs w:val="21"/>
              </w:rPr>
              <w:t>级指标</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黑体" w:eastAsia="黑体"/>
                <w:b w:val="0"/>
                <w:bCs w:val="0"/>
                <w:sz w:val="21"/>
                <w:szCs w:val="21"/>
              </w:rPr>
            </w:pPr>
            <w:r>
              <w:rPr>
                <w:rFonts w:hint="eastAsia" w:ascii="黑体" w:eastAsia="黑体"/>
                <w:b w:val="0"/>
                <w:bCs w:val="0"/>
                <w:sz w:val="21"/>
                <w:szCs w:val="21"/>
                <w:lang w:eastAsia="zh-CN"/>
              </w:rPr>
              <w:t>二</w:t>
            </w:r>
            <w:r>
              <w:rPr>
                <w:rFonts w:hint="eastAsia" w:ascii="黑体" w:eastAsia="黑体"/>
                <w:b w:val="0"/>
                <w:bCs w:val="0"/>
                <w:sz w:val="21"/>
                <w:szCs w:val="21"/>
              </w:rPr>
              <w:t>级</w:t>
            </w:r>
          </w:p>
          <w:p>
            <w:pPr>
              <w:snapToGrid w:val="0"/>
              <w:spacing w:line="240" w:lineRule="exact"/>
              <w:jc w:val="center"/>
              <w:rPr>
                <w:rFonts w:eastAsia="宋体"/>
                <w:b/>
                <w:bCs/>
                <w:sz w:val="21"/>
                <w:szCs w:val="21"/>
              </w:rPr>
            </w:pPr>
            <w:r>
              <w:rPr>
                <w:rFonts w:hint="eastAsia" w:ascii="黑体" w:eastAsia="黑体"/>
                <w:b w:val="0"/>
                <w:bCs w:val="0"/>
                <w:sz w:val="21"/>
                <w:szCs w:val="21"/>
              </w:rPr>
              <w:t>指标</w:t>
            </w:r>
          </w:p>
        </w:tc>
        <w:tc>
          <w:tcPr>
            <w:tcW w:w="8690"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eastAsia="宋体"/>
                <w:b/>
                <w:bCs/>
                <w:sz w:val="21"/>
                <w:szCs w:val="21"/>
                <w:lang w:eastAsia="zh-CN"/>
              </w:rPr>
            </w:pPr>
            <w:r>
              <w:rPr>
                <w:rFonts w:hint="eastAsia" w:eastAsia="宋体"/>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eastAsia="宋体"/>
                <w:b/>
                <w:bCs/>
                <w:sz w:val="21"/>
                <w:szCs w:val="21"/>
              </w:rPr>
            </w:pPr>
            <w:r>
              <w:rPr>
                <w:rFonts w:eastAsia="宋体"/>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both"/>
              <w:rPr>
                <w:rFonts w:hint="eastAsia" w:eastAsia="宋体"/>
                <w:b/>
                <w:bCs/>
                <w:sz w:val="21"/>
                <w:szCs w:val="21"/>
                <w:lang w:eastAsia="zh-CN"/>
              </w:rPr>
            </w:pPr>
            <w:r>
              <w:rPr>
                <w:rFonts w:hint="eastAsia" w:eastAsia="宋体"/>
                <w:b/>
                <w:bCs/>
                <w:sz w:val="21"/>
                <w:szCs w:val="21"/>
                <w:lang w:val="en-US" w:eastAsia="zh-CN"/>
              </w:rPr>
              <w:t xml:space="preserve"> </w:t>
            </w:r>
            <w:r>
              <w:rPr>
                <w:rFonts w:hint="eastAsia" w:eastAsia="宋体"/>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eastAsia="宋体"/>
                <w:b/>
                <w:bCs/>
                <w:sz w:val="21"/>
                <w:szCs w:val="21"/>
                <w:lang w:eastAsia="zh-CN"/>
              </w:rPr>
            </w:pPr>
            <w:r>
              <w:rPr>
                <w:rFonts w:hint="eastAsia" w:eastAsia="宋体"/>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eastAsia="宋体"/>
                <w:b/>
                <w:bCs/>
                <w:sz w:val="21"/>
                <w:szCs w:val="21"/>
                <w:lang w:eastAsia="zh-CN"/>
              </w:rPr>
            </w:pPr>
            <w:r>
              <w:rPr>
                <w:rFonts w:hint="eastAsia" w:eastAsia="宋体"/>
                <w:b/>
                <w:bCs/>
                <w:sz w:val="21"/>
                <w:szCs w:val="21"/>
                <w:lang w:eastAsia="zh-CN"/>
              </w:rPr>
              <w:t>备注</w:t>
            </w:r>
          </w:p>
        </w:tc>
      </w:tr>
      <w:tr>
        <w:trPr>
          <w:trHeight w:val="323" w:hRule="atLeast"/>
        </w:trPr>
        <w:tc>
          <w:tcPr>
            <w:tcW w:w="958" w:type="dxa"/>
            <w:vMerge w:val="restart"/>
            <w:tcBorders>
              <w:top w:val="single" w:color="000000" w:sz="4" w:space="0"/>
              <w:left w:val="single" w:color="000000" w:sz="4" w:space="0"/>
              <w:right w:val="single" w:color="000000" w:sz="4" w:space="0"/>
            </w:tcBorders>
            <w:vAlign w:val="center"/>
          </w:tcPr>
          <w:p>
            <w:pPr>
              <w:numPr>
                <w:numId w:val="0"/>
              </w:numPr>
              <w:spacing w:line="240" w:lineRule="auto"/>
              <w:ind w:leftChars="0"/>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二、办园</w:t>
            </w:r>
            <w:r>
              <w:rPr>
                <w:rFonts w:hint="eastAsia" w:ascii="仿宋_GB2312" w:hAnsi="仿宋_GB2312" w:cs="仿宋_GB2312"/>
                <w:b w:val="0"/>
                <w:bCs w:val="0"/>
                <w:kern w:val="0"/>
                <w:sz w:val="21"/>
                <w:szCs w:val="21"/>
                <w:lang w:val="en-US" w:eastAsia="zh-CN"/>
              </w:rPr>
              <w:t>基本</w:t>
            </w:r>
            <w:r>
              <w:rPr>
                <w:rFonts w:hint="eastAsia" w:ascii="仿宋_GB2312" w:hAnsi="仿宋_GB2312" w:eastAsia="仿宋_GB2312" w:cs="仿宋_GB2312"/>
                <w:b w:val="0"/>
                <w:bCs w:val="0"/>
                <w:kern w:val="0"/>
                <w:sz w:val="21"/>
                <w:szCs w:val="21"/>
                <w:lang w:val="en-US" w:eastAsia="zh-CN"/>
              </w:rPr>
              <w:t>条件</w:t>
            </w:r>
          </w:p>
          <w:p>
            <w:pPr>
              <w:numPr>
                <w:numId w:val="0"/>
              </w:numPr>
              <w:spacing w:line="240" w:lineRule="auto"/>
              <w:jc w:val="center"/>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val="en-US" w:eastAsia="zh-CN"/>
              </w:rPr>
              <w:t>（</w:t>
            </w:r>
            <w:r>
              <w:rPr>
                <w:rFonts w:hint="eastAsia" w:ascii="仿宋_GB2312" w:hAnsi="仿宋_GB2312" w:cs="仿宋_GB2312"/>
                <w:b w:val="0"/>
                <w:bCs w:val="0"/>
                <w:kern w:val="0"/>
                <w:sz w:val="21"/>
                <w:szCs w:val="21"/>
                <w:lang w:val="en-US" w:eastAsia="zh-CN"/>
              </w:rPr>
              <w:t>20</w:t>
            </w:r>
            <w:r>
              <w:rPr>
                <w:rFonts w:hint="eastAsia" w:ascii="仿宋_GB2312" w:hAnsi="仿宋_GB2312" w:eastAsia="仿宋_GB2312" w:cs="仿宋_GB2312"/>
                <w:b w:val="0"/>
                <w:bCs w:val="0"/>
                <w:kern w:val="0"/>
                <w:sz w:val="21"/>
                <w:szCs w:val="21"/>
                <w:lang w:val="en-US" w:eastAsia="zh-CN"/>
              </w:rPr>
              <w:t>分）</w:t>
            </w:r>
          </w:p>
        </w:tc>
        <w:tc>
          <w:tcPr>
            <w:tcW w:w="900"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2.2</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设施</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设备</w:t>
            </w:r>
          </w:p>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16.每班室内活动区应配备足够的玩教具及各类游戏活动材料,并根据季节变换、教育活动内容、幼儿发展水平等及时更新</w:t>
            </w:r>
            <w:r>
              <w:rPr>
                <w:rFonts w:hint="eastAsia" w:ascii="仿宋_GB2312" w:hAnsi="仿宋_GB2312" w:cs="仿宋_GB2312"/>
                <w:b w:val="0"/>
                <w:bCs w:val="0"/>
                <w:kern w:val="0"/>
                <w:sz w:val="21"/>
                <w:szCs w:val="21"/>
                <w:lang w:val="en-US" w:eastAsia="zh-CN"/>
              </w:rPr>
              <w:t>（0.5分）。</w:t>
            </w:r>
            <w:r>
              <w:rPr>
                <w:rFonts w:hint="eastAsia" w:ascii="仿宋_GB2312" w:hAnsi="仿宋_GB2312" w:eastAsia="仿宋_GB2312" w:cs="仿宋_GB2312"/>
                <w:b w:val="0"/>
                <w:bCs w:val="0"/>
                <w:kern w:val="0"/>
                <w:sz w:val="21"/>
                <w:szCs w:val="21"/>
                <w:lang w:val="en-US" w:eastAsia="zh-CN"/>
              </w:rPr>
              <w:t>有适合幼儿阅读的图书,人均5册以上,复本不超过5册,并且每年更新</w:t>
            </w:r>
            <w:r>
              <w:rPr>
                <w:rFonts w:hint="eastAsia" w:ascii="仿宋_GB2312" w:hAnsi="仿宋_GB2312" w:cs="仿宋_GB2312"/>
                <w:b w:val="0"/>
                <w:bCs w:val="0"/>
                <w:kern w:val="0"/>
                <w:sz w:val="21"/>
                <w:szCs w:val="21"/>
                <w:lang w:val="en-US" w:eastAsia="zh-CN"/>
              </w:rPr>
              <w:t>（0.5分）</w:t>
            </w:r>
            <w:r>
              <w:rPr>
                <w:rFonts w:hint="eastAsia" w:ascii="仿宋_GB2312" w:hAnsi="仿宋_GB2312" w:eastAsia="仿宋_GB2312" w:cs="仿宋_GB2312"/>
                <w:b w:val="0"/>
                <w:bCs w:val="0"/>
                <w:kern w:val="0"/>
                <w:sz w:val="21"/>
                <w:szCs w:val="21"/>
                <w:lang w:val="en-US" w:eastAsia="zh-CN"/>
              </w:rPr>
              <w:t>。</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323" w:hRule="atLeast"/>
        </w:trPr>
        <w:tc>
          <w:tcPr>
            <w:tcW w:w="958" w:type="dxa"/>
            <w:vMerge w:val="continue"/>
            <w:tcBorders>
              <w:left w:val="single" w:color="000000" w:sz="4" w:space="0"/>
              <w:right w:val="single" w:color="000000" w:sz="4" w:space="0"/>
            </w:tcBorders>
            <w:vAlign w:val="center"/>
          </w:tcPr>
          <w:p>
            <w:pPr>
              <w:numPr>
                <w:numId w:val="0"/>
              </w:numPr>
              <w:spacing w:line="240" w:lineRule="auto"/>
              <w:jc w:val="center"/>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17.每班生活区应配备保暖桶(应设锁定装置)、水杯柜、衣帽储藏柜。每生配备1个杯子(无毒、不易碎、耐高温),并有明显区分标记。</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323" w:hRule="atLeast"/>
        </w:trPr>
        <w:tc>
          <w:tcPr>
            <w:tcW w:w="958" w:type="dxa"/>
            <w:vMerge w:val="continue"/>
            <w:tcBorders>
              <w:left w:val="single" w:color="000000" w:sz="4" w:space="0"/>
              <w:right w:val="single" w:color="000000" w:sz="4" w:space="0"/>
            </w:tcBorders>
            <w:vAlign w:val="center"/>
          </w:tcPr>
          <w:p>
            <w:pPr>
              <w:numPr>
                <w:numId w:val="0"/>
              </w:numPr>
              <w:spacing w:line="240" w:lineRule="auto"/>
              <w:jc w:val="center"/>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18.每班配备供儿童午休的单层床,每生1床,小床长度应符合儿童身高要求,床间通道不得小于50厘米。新建幼儿园不得使用双层床,现有幼儿园逐步取消双层床。</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323" w:hRule="atLeast"/>
        </w:trPr>
        <w:tc>
          <w:tcPr>
            <w:tcW w:w="958" w:type="dxa"/>
            <w:vMerge w:val="continue"/>
            <w:tcBorders>
              <w:left w:val="single" w:color="000000" w:sz="4" w:space="0"/>
              <w:right w:val="single" w:color="000000" w:sz="4" w:space="0"/>
            </w:tcBorders>
            <w:vAlign w:val="center"/>
          </w:tcPr>
          <w:p>
            <w:pPr>
              <w:numPr>
                <w:numId w:val="0"/>
              </w:numPr>
              <w:spacing w:line="240" w:lineRule="auto"/>
              <w:jc w:val="center"/>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19.儿童每人1巾，毛巾之间要合理间隔，并以安全方式悬挂。</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sz w:val="21"/>
                <w:szCs w:val="21"/>
              </w:rPr>
            </w:pPr>
          </w:p>
        </w:tc>
      </w:tr>
      <w:tr>
        <w:trPr>
          <w:trHeight w:val="582" w:hRule="atLeast"/>
        </w:trPr>
        <w:tc>
          <w:tcPr>
            <w:tcW w:w="958" w:type="dxa"/>
            <w:vMerge w:val="continue"/>
            <w:tcBorders>
              <w:left w:val="single" w:color="000000" w:sz="4" w:space="0"/>
              <w:right w:val="single" w:color="000000" w:sz="4" w:space="0"/>
            </w:tcBorders>
            <w:vAlign w:val="center"/>
          </w:tcPr>
          <w:p>
            <w:pPr>
              <w:numPr>
                <w:numId w:val="0"/>
              </w:numPr>
              <w:spacing w:line="240" w:lineRule="auto"/>
              <w:jc w:val="center"/>
              <w:rPr>
                <w:rFonts w:hint="eastAsia" w:ascii="仿宋_GB2312" w:hAnsi="仿宋_GB2312" w:eastAsia="仿宋_GB2312" w:cs="仿宋_GB2312"/>
                <w:b w:val="0"/>
                <w:bCs w:val="0"/>
                <w:kern w:val="0"/>
                <w:sz w:val="21"/>
                <w:szCs w:val="21"/>
                <w:lang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20.多功能活动室应根据需要配备音响设备、电钢琴(或电子琴)、舞蹈设施、桌椅等相应的设施设备。有条件的可配备多媒体设备及钢琴。</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sz w:val="21"/>
                <w:szCs w:val="21"/>
              </w:rPr>
            </w:pPr>
          </w:p>
        </w:tc>
      </w:tr>
      <w:tr>
        <w:trPr>
          <w:trHeight w:val="181" w:hRule="atLeast"/>
        </w:trPr>
        <w:tc>
          <w:tcPr>
            <w:tcW w:w="958"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21.应配有数量充足的供教师使用的教学用书、用具和图书、资料,教师专业用书不少于15种,报刊杂志不少于5种,其中学前教育杂志不少于3种。农村地区3个班幼儿园,教师专业用书不少于10本,报刊杂志不少于3种,其中学前教育杂志不少于2种。</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sz w:val="21"/>
                <w:szCs w:val="21"/>
              </w:rPr>
            </w:pPr>
          </w:p>
        </w:tc>
      </w:tr>
      <w:tr>
        <w:trPr>
          <w:trHeight w:val="400" w:hRule="atLeast"/>
        </w:trPr>
        <w:tc>
          <w:tcPr>
            <w:tcW w:w="958" w:type="dxa"/>
            <w:vMerge w:val="continue"/>
            <w:tcBorders>
              <w:left w:val="single" w:color="000000" w:sz="4" w:space="0"/>
              <w:right w:val="single" w:color="000000" w:sz="4" w:space="0"/>
            </w:tcBorders>
            <w:vAlign w:val="center"/>
          </w:tcPr>
          <w:p>
            <w:pPr>
              <w:numPr>
                <w:numId w:val="0"/>
              </w:numPr>
              <w:spacing w:line="240" w:lineRule="auto"/>
              <w:ind w:leftChars="0"/>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22.保健室应配备保健箱、常见外用药品及简易外伤处理器械、消毒液、温度计、手电筒、对数视力表等。</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328" w:hRule="atLeast"/>
        </w:trPr>
        <w:tc>
          <w:tcPr>
            <w:tcW w:w="958"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23.应配备必要的食堂设施设备及防蝇、防鼠、防尘、防腐、消毒设施,并符合国家相关要求。</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90" w:hRule="atLeast"/>
        </w:trPr>
        <w:tc>
          <w:tcPr>
            <w:tcW w:w="958"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24.有校车的幼儿园要使用按照专用校车国家标准设计和制造的幼儿专用校车,并严格遵守校车安全管理规定。</w:t>
            </w:r>
          </w:p>
        </w:tc>
        <w:tc>
          <w:tcPr>
            <w:tcW w:w="734"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查阅资料</w:t>
            </w:r>
          </w:p>
          <w:p>
            <w:pPr>
              <w:pStyle w:val="4"/>
              <w:widowControl/>
              <w:spacing w:before="0" w:beforeAutospacing="0" w:after="0" w:afterAutospacing="0"/>
              <w:ind w:left="0" w:leftChars="0" w:right="0"/>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90" w:hRule="atLeast"/>
        </w:trPr>
        <w:tc>
          <w:tcPr>
            <w:tcW w:w="958"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25.按有关规定配齐安保防卫设施设备。</w:t>
            </w:r>
          </w:p>
        </w:tc>
        <w:tc>
          <w:tcPr>
            <w:tcW w:w="734"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214" w:hRule="atLeast"/>
        </w:trPr>
        <w:tc>
          <w:tcPr>
            <w:tcW w:w="958" w:type="dxa"/>
            <w:vMerge w:val="continue"/>
            <w:tcBorders>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2.3</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园所</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场地</w:t>
            </w: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26.有与其规模相适应的户外活动场地,按有关要求设置活动器械以及玩水池、玩沙池、种植园地、饲养区等（1分）。室外分班游戏、共用游戏场地人均面积均不低于2平方米；室外共用游戏场地宜集中设置,部分场地宜与集中绿化用地结合设置（1分）。室外活动场地应具有良好的排水系统，并根据幼儿活动的需要绿化、美化园地（0.5分）。</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2.5分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52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黑体" w:eastAsia="黑体"/>
                <w:b w:val="0"/>
                <w:bCs w:val="0"/>
                <w:sz w:val="21"/>
                <w:szCs w:val="21"/>
                <w:lang w:eastAsia="zh-CN"/>
              </w:rPr>
            </w:pPr>
            <w:r>
              <w:rPr>
                <w:rFonts w:hint="eastAsia" w:ascii="黑体" w:eastAsia="黑体"/>
                <w:b w:val="0"/>
                <w:bCs w:val="0"/>
                <w:sz w:val="21"/>
                <w:szCs w:val="21"/>
                <w:lang w:eastAsia="zh-CN"/>
              </w:rPr>
              <w:t>一级指标</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黑体" w:eastAsia="黑体"/>
                <w:b w:val="0"/>
                <w:bCs w:val="0"/>
                <w:sz w:val="21"/>
                <w:szCs w:val="21"/>
                <w:lang w:eastAsia="zh-CN"/>
              </w:rPr>
            </w:pPr>
            <w:r>
              <w:rPr>
                <w:rFonts w:hint="eastAsia" w:ascii="黑体" w:eastAsia="黑体"/>
                <w:b w:val="0"/>
                <w:bCs w:val="0"/>
                <w:sz w:val="21"/>
                <w:szCs w:val="21"/>
                <w:lang w:eastAsia="zh-CN"/>
              </w:rPr>
              <w:t>二级</w:t>
            </w:r>
          </w:p>
          <w:p>
            <w:pPr>
              <w:snapToGrid w:val="0"/>
              <w:spacing w:line="240" w:lineRule="exact"/>
              <w:jc w:val="center"/>
              <w:rPr>
                <w:rFonts w:hint="eastAsia" w:ascii="黑体" w:eastAsia="黑体"/>
                <w:b w:val="0"/>
                <w:bCs w:val="0"/>
                <w:sz w:val="21"/>
                <w:szCs w:val="21"/>
                <w:lang w:eastAsia="zh-CN"/>
              </w:rPr>
            </w:pPr>
            <w:r>
              <w:rPr>
                <w:rFonts w:hint="eastAsia" w:ascii="黑体" w:eastAsia="黑体"/>
                <w:b w:val="0"/>
                <w:bCs w:val="0"/>
                <w:sz w:val="21"/>
                <w:szCs w:val="21"/>
                <w:lang w:eastAsia="zh-CN"/>
              </w:rPr>
              <w:t>指标</w:t>
            </w:r>
          </w:p>
        </w:tc>
        <w:tc>
          <w:tcPr>
            <w:tcW w:w="869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黑体" w:eastAsia="黑体"/>
                <w:b w:val="0"/>
                <w:bCs w:val="0"/>
                <w:sz w:val="21"/>
                <w:szCs w:val="21"/>
                <w:lang w:eastAsia="zh-CN"/>
              </w:rPr>
            </w:pPr>
            <w:r>
              <w:rPr>
                <w:rFonts w:hint="eastAsia" w:ascii="黑体" w:eastAsia="黑体"/>
                <w:b w:val="0"/>
                <w:bCs w:val="0"/>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黑体" w:eastAsia="黑体"/>
                <w:b w:val="0"/>
                <w:bCs w:val="0"/>
                <w:sz w:val="21"/>
                <w:szCs w:val="21"/>
                <w:lang w:eastAsia="zh-CN"/>
              </w:rPr>
            </w:pPr>
            <w:r>
              <w:rPr>
                <w:rFonts w:hint="eastAsia" w:ascii="黑体" w:eastAsia="黑体"/>
                <w:b w:val="0"/>
                <w:bCs w:val="0"/>
                <w:sz w:val="21"/>
                <w:szCs w:val="21"/>
                <w:lang w:eastAsia="zh-CN"/>
              </w:rPr>
              <w:t>指标分值</w:t>
            </w:r>
          </w:p>
        </w:tc>
        <w:tc>
          <w:tcPr>
            <w:tcW w:w="108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黑体" w:eastAsia="黑体"/>
                <w:b w:val="0"/>
                <w:bCs w:val="0"/>
                <w:sz w:val="21"/>
                <w:szCs w:val="21"/>
                <w:lang w:eastAsia="zh-CN"/>
              </w:rPr>
            </w:pPr>
            <w:r>
              <w:rPr>
                <w:rFonts w:hint="eastAsia" w:ascii="黑体" w:eastAsia="黑体"/>
                <w:b w:val="0"/>
                <w:bCs w:val="0"/>
                <w:sz w:val="21"/>
                <w:szCs w:val="21"/>
                <w:lang w:val="en-US" w:eastAsia="zh-CN"/>
              </w:rPr>
              <w:t xml:space="preserve"> </w:t>
            </w:r>
            <w:r>
              <w:rPr>
                <w:rFonts w:hint="eastAsia" w:ascii="黑体" w:eastAsia="黑体"/>
                <w:b w:val="0"/>
                <w:bCs w:val="0"/>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黑体" w:eastAsia="黑体"/>
                <w:b w:val="0"/>
                <w:bCs w:val="0"/>
                <w:sz w:val="21"/>
                <w:szCs w:val="21"/>
                <w:lang w:eastAsia="zh-CN"/>
              </w:rPr>
            </w:pPr>
            <w:r>
              <w:rPr>
                <w:rFonts w:hint="eastAsia" w:ascii="黑体" w:eastAsia="黑体"/>
                <w:b w:val="0"/>
                <w:bCs w:val="0"/>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黑体" w:eastAsia="黑体"/>
                <w:b w:val="0"/>
                <w:bCs w:val="0"/>
                <w:sz w:val="21"/>
                <w:szCs w:val="21"/>
                <w:lang w:eastAsia="zh-CN"/>
              </w:rPr>
            </w:pPr>
            <w:r>
              <w:rPr>
                <w:rFonts w:hint="eastAsia" w:ascii="黑体" w:eastAsia="黑体"/>
                <w:b w:val="0"/>
                <w:bCs w:val="0"/>
                <w:sz w:val="21"/>
                <w:szCs w:val="21"/>
                <w:lang w:eastAsia="zh-CN"/>
              </w:rPr>
              <w:t>备注</w:t>
            </w:r>
          </w:p>
        </w:tc>
      </w:tr>
      <w:tr>
        <w:trPr>
          <w:trHeight w:val="359" w:hRule="atLeast"/>
        </w:trPr>
        <w:tc>
          <w:tcPr>
            <w:tcW w:w="958" w:type="dxa"/>
            <w:vMerge w:val="restart"/>
            <w:tcBorders>
              <w:top w:val="single" w:color="000000" w:sz="4" w:space="0"/>
              <w:left w:val="single" w:color="000000" w:sz="4" w:space="0"/>
              <w:right w:val="single" w:color="000000" w:sz="4" w:space="0"/>
            </w:tcBorders>
            <w:vAlign w:val="center"/>
          </w:tcPr>
          <w:p>
            <w:pPr>
              <w:numPr>
                <w:numId w:val="0"/>
              </w:numPr>
              <w:spacing w:line="240" w:lineRule="auto"/>
              <w:ind w:leftChars="0"/>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三、园务</w:t>
            </w:r>
          </w:p>
          <w:p>
            <w:pPr>
              <w:numPr>
                <w:numId w:val="0"/>
              </w:numPr>
              <w:spacing w:line="240" w:lineRule="auto"/>
              <w:ind w:leftChars="0"/>
              <w:jc w:val="center"/>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val="en-US" w:eastAsia="zh-CN"/>
              </w:rPr>
              <w:t>管理 （2</w:t>
            </w:r>
            <w:r>
              <w:rPr>
                <w:rFonts w:hint="eastAsia" w:ascii="仿宋_GB2312" w:hAnsi="仿宋_GB2312" w:cs="仿宋_GB2312"/>
                <w:b w:val="0"/>
                <w:bCs w:val="0"/>
                <w:kern w:val="0"/>
                <w:sz w:val="21"/>
                <w:szCs w:val="21"/>
                <w:lang w:val="en-US" w:eastAsia="zh-CN"/>
              </w:rPr>
              <w:t>5</w:t>
            </w:r>
            <w:r>
              <w:rPr>
                <w:rFonts w:hint="eastAsia" w:ascii="仿宋_GB2312" w:hAnsi="仿宋_GB2312" w:eastAsia="仿宋_GB2312" w:cs="仿宋_GB2312"/>
                <w:b w:val="0"/>
                <w:bCs w:val="0"/>
                <w:kern w:val="0"/>
                <w:sz w:val="21"/>
                <w:szCs w:val="21"/>
                <w:lang w:val="en-US" w:eastAsia="zh-CN"/>
              </w:rPr>
              <w:t>分）</w:t>
            </w:r>
          </w:p>
        </w:tc>
        <w:tc>
          <w:tcPr>
            <w:tcW w:w="900" w:type="dxa"/>
            <w:vMerge w:val="restart"/>
            <w:tcBorders>
              <w:top w:val="single" w:color="000000" w:sz="4" w:space="0"/>
              <w:left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3.1</w:t>
            </w: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园所</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资</w:t>
            </w:r>
          </w:p>
        </w:tc>
        <w:tc>
          <w:tcPr>
            <w:tcW w:w="869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27.有相关产权证明和合法建筑手续；属于租用园舍的,应当提供有法律效力的租赁合同或协议。</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359" w:hRule="atLeast"/>
        </w:trPr>
        <w:tc>
          <w:tcPr>
            <w:tcW w:w="958" w:type="dxa"/>
            <w:vMerge w:val="continue"/>
            <w:tcBorders>
              <w:left w:val="single" w:color="000000" w:sz="4" w:space="0"/>
              <w:right w:val="single" w:color="000000" w:sz="4" w:space="0"/>
            </w:tcBorders>
            <w:vAlign w:val="center"/>
          </w:tcPr>
          <w:p>
            <w:pPr>
              <w:numPr>
                <w:numId w:val="0"/>
              </w:numPr>
              <w:spacing w:line="240" w:lineRule="auto"/>
              <w:jc w:val="both"/>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28.证照齐全，合法经营；依法取得办学许可证、收费许可证、法人登记证、餐饮服务许可证，有校车的应取得校车运营合格证，并向社会公示。</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359" w:hRule="atLeast"/>
        </w:trPr>
        <w:tc>
          <w:tcPr>
            <w:tcW w:w="958" w:type="dxa"/>
            <w:vMerge w:val="continue"/>
            <w:tcBorders>
              <w:left w:val="single" w:color="000000" w:sz="4" w:space="0"/>
              <w:right w:val="single" w:color="000000" w:sz="4" w:space="0"/>
            </w:tcBorders>
            <w:vAlign w:val="center"/>
          </w:tcPr>
          <w:p>
            <w:pPr>
              <w:numPr>
                <w:numId w:val="0"/>
              </w:numPr>
              <w:spacing w:line="240" w:lineRule="auto"/>
              <w:jc w:val="both"/>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29.幼儿园名称规范，符合法规要求并在审批机关备案；使用名称和审批名称一致。</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359" w:hRule="atLeast"/>
        </w:trPr>
        <w:tc>
          <w:tcPr>
            <w:tcW w:w="958" w:type="dxa"/>
            <w:vMerge w:val="continue"/>
            <w:tcBorders>
              <w:left w:val="single" w:color="000000" w:sz="4" w:space="0"/>
              <w:right w:val="single" w:color="000000" w:sz="4" w:space="0"/>
            </w:tcBorders>
            <w:vAlign w:val="center"/>
          </w:tcPr>
          <w:p>
            <w:pPr>
              <w:numPr>
                <w:numId w:val="0"/>
              </w:numPr>
              <w:spacing w:line="240" w:lineRule="auto"/>
              <w:jc w:val="both"/>
              <w:rPr>
                <w:rFonts w:hint="eastAsia" w:ascii="仿宋_GB2312" w:hAnsi="仿宋_GB2312" w:eastAsia="仿宋_GB2312" w:cs="仿宋_GB2312"/>
                <w:b w:val="0"/>
                <w:bCs w:val="0"/>
                <w:kern w:val="0"/>
                <w:sz w:val="21"/>
                <w:szCs w:val="21"/>
                <w:lang w:val="en-US" w:eastAsia="zh-CN"/>
              </w:rPr>
            </w:pPr>
          </w:p>
        </w:tc>
        <w:tc>
          <w:tcPr>
            <w:tcW w:w="900" w:type="dxa"/>
            <w:tcBorders>
              <w:top w:val="single" w:color="000000" w:sz="4" w:space="0"/>
              <w:left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3.2</w:t>
            </w: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办园</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思想</w:t>
            </w:r>
          </w:p>
        </w:tc>
        <w:tc>
          <w:tcPr>
            <w:tcW w:w="8690" w:type="dxa"/>
            <w:tcBorders>
              <w:top w:val="single" w:color="000000" w:sz="4" w:space="0"/>
              <w:left w:val="single" w:color="000000" w:sz="4" w:space="0"/>
              <w:bottom w:val="single" w:color="000000" w:sz="4" w:space="0"/>
              <w:right w:val="single" w:color="000000" w:sz="4" w:space="0"/>
            </w:tcBorders>
            <w:vAlign w:val="center"/>
          </w:tcPr>
          <w:p>
            <w:pPr>
              <w:widowControl w:val="0"/>
              <w:numPr>
                <w:numId w:val="0"/>
              </w:numPr>
              <w:wordWrap/>
              <w:adjustRightInd w:val="0"/>
              <w:snapToGrid w:val="0"/>
              <w:spacing w:line="240" w:lineRule="auto"/>
              <w:ind w:left="0" w:leftChars="0" w:firstLine="0" w:firstLineChars="0"/>
              <w:jc w:val="left"/>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30.学习贯彻国家关于学前教育的各项政策及法律法规，科学规范办园（0.5分）</w:t>
            </w:r>
            <w:r>
              <w:rPr>
                <w:rFonts w:hint="eastAsia" w:ascii="仿宋_GB2312" w:hAnsi="仿宋_GB2312" w:cs="仿宋_GB2312"/>
                <w:b w:val="0"/>
                <w:bCs w:val="0"/>
                <w:kern w:val="0"/>
                <w:sz w:val="21"/>
                <w:szCs w:val="21"/>
                <w:lang w:val="en-US" w:eastAsia="zh-CN"/>
              </w:rPr>
              <w:t>。</w:t>
            </w:r>
            <w:r>
              <w:rPr>
                <w:rFonts w:hint="eastAsia" w:ascii="仿宋_GB2312" w:hAnsi="仿宋_GB2312" w:eastAsia="仿宋_GB2312" w:cs="仿宋_GB2312"/>
                <w:b w:val="0"/>
                <w:bCs w:val="0"/>
                <w:kern w:val="0"/>
                <w:sz w:val="21"/>
                <w:szCs w:val="21"/>
                <w:lang w:val="en-US" w:eastAsia="zh-CN"/>
              </w:rPr>
              <w:t>认真学习《幼儿园教育指导纲要（试行）》《3—6岁儿童学习与发展指南》《幼儿园工作规程》，并应用于园务管理实践（0.5分）。</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331" w:hRule="atLeast"/>
        </w:trPr>
        <w:tc>
          <w:tcPr>
            <w:tcW w:w="958" w:type="dxa"/>
            <w:vMerge w:val="continue"/>
            <w:tcBorders>
              <w:left w:val="single" w:color="000000" w:sz="4" w:space="0"/>
              <w:right w:val="single" w:color="000000" w:sz="4" w:space="0"/>
            </w:tcBorders>
            <w:vAlign w:val="center"/>
          </w:tcPr>
          <w:p>
            <w:pPr>
              <w:numPr>
                <w:numId w:val="0"/>
              </w:numPr>
              <w:spacing w:line="240" w:lineRule="auto"/>
              <w:jc w:val="both"/>
              <w:rPr>
                <w:rFonts w:hint="eastAsia" w:ascii="仿宋_GB2312" w:hAnsi="仿宋_GB2312" w:eastAsia="仿宋_GB2312" w:cs="仿宋_GB2312"/>
                <w:b w:val="0"/>
                <w:bCs w:val="0"/>
                <w:kern w:val="0"/>
                <w:sz w:val="21"/>
                <w:szCs w:val="21"/>
                <w:lang w:eastAsia="zh-CN"/>
              </w:rPr>
            </w:pPr>
          </w:p>
        </w:tc>
        <w:tc>
          <w:tcPr>
            <w:tcW w:w="900" w:type="dxa"/>
            <w:vMerge w:val="restart"/>
            <w:tcBorders>
              <w:top w:val="single" w:color="000000" w:sz="4" w:space="0"/>
              <w:left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3.3</w:t>
            </w: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管理</w:t>
            </w: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机制</w:t>
            </w:r>
          </w:p>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31.实行园长全面负责制，领导班子机构健全，结构合理，分工明确。</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sz w:val="21"/>
                <w:szCs w:val="21"/>
              </w:rPr>
            </w:pPr>
          </w:p>
        </w:tc>
      </w:tr>
      <w:tr>
        <w:trPr>
          <w:trHeight w:val="657" w:hRule="atLeast"/>
        </w:trPr>
        <w:tc>
          <w:tcPr>
            <w:tcW w:w="958"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32.建立健全园务委员会，实行园务公开。园务委员会由园长、副园长、党组织负责人和保教、卫生保健、财会等方面工作人员的代表以及幼儿家长代表组成，定期召开园务委员会会议，遇重大问题临时召集会议。</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sz w:val="21"/>
                <w:szCs w:val="21"/>
              </w:rPr>
            </w:pPr>
          </w:p>
        </w:tc>
      </w:tr>
      <w:tr>
        <w:trPr>
          <w:trHeight w:val="305" w:hRule="atLeast"/>
        </w:trPr>
        <w:tc>
          <w:tcPr>
            <w:tcW w:w="958" w:type="dxa"/>
            <w:vMerge w:val="continue"/>
            <w:tcBorders>
              <w:left w:val="single" w:color="000000" w:sz="4" w:space="0"/>
              <w:right w:val="single" w:color="000000" w:sz="4" w:space="0"/>
            </w:tcBorders>
            <w:vAlign w:val="center"/>
          </w:tcPr>
          <w:p>
            <w:pPr>
              <w:numPr>
                <w:numId w:val="0"/>
              </w:numPr>
              <w:spacing w:line="240" w:lineRule="auto"/>
              <w:ind w:leftChars="0"/>
              <w:jc w:val="center"/>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33.建立教职工大会制度或者教职工代表大会制度,依法加强民主管理和监督，重大事项由民主程序决定。</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211" w:hRule="atLeast"/>
        </w:trPr>
        <w:tc>
          <w:tcPr>
            <w:tcW w:w="958"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34.建立教研制度,研究解决保教工作中的实际问题。</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564" w:hRule="atLeast"/>
        </w:trPr>
        <w:tc>
          <w:tcPr>
            <w:tcW w:w="958"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35.制订年度工作计划,定期部署、总结和报告工作。每学年年末应当向教育等行政主管部门报告工作。</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544" w:hRule="atLeast"/>
        </w:trPr>
        <w:tc>
          <w:tcPr>
            <w:tcW w:w="958"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36.建立业务档案、财务管理、园务会议、人员奖惩、安全管理以及与家庭、小学联系等制度。</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214" w:hRule="atLeast"/>
        </w:trPr>
        <w:tc>
          <w:tcPr>
            <w:tcW w:w="958"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37.建立信息管理制度,按照规定采集、更新、报送幼儿园管理信息系统的相关信息,每年向主管教育行政部门报送统计信息。</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90" w:hRule="atLeast"/>
        </w:trPr>
        <w:tc>
          <w:tcPr>
            <w:tcW w:w="958" w:type="dxa"/>
            <w:vMerge w:val="continue"/>
            <w:tcBorders>
              <w:left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38.依法签订劳动合同，按时足额发放工资，保障教师待遇。</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52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lang w:eastAsia="zh-CN"/>
              </w:rPr>
              <w:t>一</w:t>
            </w:r>
            <w:r>
              <w:rPr>
                <w:rFonts w:hint="eastAsia" w:ascii="仿宋_GB2312" w:hAnsi="仿宋_GB2312" w:eastAsia="仿宋_GB2312" w:cs="仿宋_GB2312"/>
                <w:b w:val="0"/>
                <w:bCs w:val="0"/>
                <w:sz w:val="21"/>
                <w:szCs w:val="21"/>
              </w:rPr>
              <w:t>级指标</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eastAsia="zh-CN"/>
              </w:rPr>
              <w:t>二</w:t>
            </w:r>
            <w:r>
              <w:rPr>
                <w:rFonts w:hint="eastAsia" w:ascii="仿宋_GB2312" w:hAnsi="仿宋_GB2312" w:eastAsia="仿宋_GB2312" w:cs="仿宋_GB2312"/>
                <w:b w:val="0"/>
                <w:bCs w:val="0"/>
                <w:sz w:val="21"/>
                <w:szCs w:val="21"/>
              </w:rPr>
              <w:t>级</w:t>
            </w:r>
          </w:p>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rPr>
              <w:t>指标</w:t>
            </w:r>
          </w:p>
        </w:tc>
        <w:tc>
          <w:tcPr>
            <w:tcW w:w="8690"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both"/>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val="en-US" w:eastAsia="zh-CN"/>
              </w:rPr>
              <w:t xml:space="preserve"> </w:t>
            </w:r>
            <w:r>
              <w:rPr>
                <w:rFonts w:hint="eastAsia" w:ascii="仿宋_GB2312" w:hAnsi="仿宋_GB2312" w:eastAsia="仿宋_GB2312" w:cs="仿宋_GB2312"/>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备注</w:t>
            </w:r>
          </w:p>
        </w:tc>
      </w:tr>
      <w:tr>
        <w:trPr>
          <w:trHeight w:val="582"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numPr>
                <w:numId w:val="0"/>
              </w:numPr>
              <w:spacing w:line="240" w:lineRule="auto"/>
              <w:jc w:val="both"/>
              <w:rPr>
                <w:rFonts w:hint="eastAsia" w:ascii="仿宋_GB2312" w:hAnsi="仿宋_GB2312" w:eastAsia="仿宋_GB2312" w:cs="仿宋_GB2312"/>
                <w:b w:val="0"/>
                <w:bCs w:val="0"/>
                <w:kern w:val="0"/>
                <w:sz w:val="21"/>
                <w:szCs w:val="21"/>
                <w:lang w:val="en-US"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3.4</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办园</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规模</w:t>
            </w: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39.办园规模以6—12个班为宜，各年龄班须有平行班，农村地区可设3个班（0.5分）。每班幼儿人数一般为：小班25人，中班30人，大班35人，混龄班不超过30人，寄宿制幼儿园每班人数酌减，2—3岁的托班20人。小班3-4周岁，中班4-5周岁，大班5-6周岁；可按年龄分别编班，也可混合编班（0.5分）。</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582" w:hRule="atLeast"/>
        </w:trPr>
        <w:tc>
          <w:tcPr>
            <w:tcW w:w="958" w:type="dxa"/>
            <w:vMerge w:val="restart"/>
            <w:tcBorders>
              <w:top w:val="single" w:color="000000" w:sz="4" w:space="0"/>
              <w:left w:val="single" w:color="000000" w:sz="4" w:space="0"/>
              <w:bottom w:val="single" w:color="000000" w:sz="4" w:space="0"/>
              <w:right w:val="single" w:color="000000" w:sz="4" w:space="0"/>
            </w:tcBorders>
            <w:vAlign w:val="center"/>
          </w:tcPr>
          <w:p>
            <w:pPr>
              <w:numPr>
                <w:numId w:val="0"/>
              </w:numPr>
              <w:spacing w:line="240" w:lineRule="auto"/>
              <w:ind w:leftChars="0"/>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三、园务</w:t>
            </w:r>
          </w:p>
          <w:p>
            <w:pPr>
              <w:numPr>
                <w:numId w:val="0"/>
              </w:numPr>
              <w:spacing w:line="240" w:lineRule="auto"/>
              <w:ind w:leftChars="0"/>
              <w:jc w:val="center"/>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val="en-US" w:eastAsia="zh-CN"/>
              </w:rPr>
              <w:t>管理 （2</w:t>
            </w:r>
            <w:r>
              <w:rPr>
                <w:rFonts w:hint="eastAsia" w:ascii="仿宋_GB2312" w:hAnsi="仿宋_GB2312" w:cs="仿宋_GB2312"/>
                <w:b w:val="0"/>
                <w:bCs w:val="0"/>
                <w:kern w:val="0"/>
                <w:sz w:val="21"/>
                <w:szCs w:val="21"/>
                <w:lang w:val="en-US" w:eastAsia="zh-CN"/>
              </w:rPr>
              <w:t>5</w:t>
            </w:r>
            <w:r>
              <w:rPr>
                <w:rFonts w:hint="eastAsia" w:ascii="仿宋_GB2312" w:hAnsi="仿宋_GB2312" w:eastAsia="仿宋_GB2312" w:cs="仿宋_GB2312"/>
                <w:b w:val="0"/>
                <w:bCs w:val="0"/>
                <w:kern w:val="0"/>
                <w:sz w:val="21"/>
                <w:szCs w:val="21"/>
                <w:lang w:val="en-US" w:eastAsia="zh-CN"/>
              </w:rPr>
              <w:t>分）</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3.5</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财务</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管理</w:t>
            </w:r>
          </w:p>
          <w:p>
            <w:pPr>
              <w:spacing w:line="240" w:lineRule="auto"/>
              <w:jc w:val="center"/>
              <w:rPr>
                <w:rFonts w:hint="eastAsia" w:ascii="仿宋_GB2312" w:hAnsi="仿宋_GB2312" w:eastAsia="仿宋_GB2312" w:cs="仿宋_GB2312"/>
                <w:b w:val="0"/>
                <w:bCs w:val="0"/>
                <w:kern w:val="0"/>
                <w:sz w:val="21"/>
                <w:szCs w:val="21"/>
                <w:lang w:val="en-US" w:eastAsia="zh-CN"/>
              </w:rPr>
            </w:pPr>
          </w:p>
          <w:p>
            <w:pPr>
              <w:spacing w:line="240" w:lineRule="auto"/>
              <w:jc w:val="center"/>
              <w:rPr>
                <w:rFonts w:hint="eastAsia" w:ascii="仿宋_GB2312" w:hAnsi="仿宋_GB2312" w:eastAsia="仿宋_GB2312" w:cs="仿宋_GB2312"/>
                <w:b w:val="0"/>
                <w:bCs w:val="0"/>
                <w:kern w:val="0"/>
                <w:sz w:val="21"/>
                <w:szCs w:val="21"/>
                <w:lang w:val="en-US" w:eastAsia="zh-CN"/>
              </w:rPr>
            </w:pPr>
          </w:p>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40.幼儿园举办者应为幼儿园保育和教育、教师工资和福利待遇以及维修、扩建、设备设施添置等提供合法、稳定的经费来源,保证幼儿园正常运转。</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sz w:val="21"/>
                <w:szCs w:val="21"/>
              </w:rPr>
            </w:pPr>
          </w:p>
        </w:tc>
      </w:tr>
      <w:tr>
        <w:trPr>
          <w:trHeight w:val="1429"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41.规范收费管理。各级各类幼儿园除按规定收取保教费、住宿费，以及由家长自愿交纳的代收费、服务性收费外，不得再向家长收取其他费</w:t>
            </w:r>
            <w:r>
              <w:rPr>
                <w:rFonts w:hint="eastAsia" w:ascii="仿宋_GB2312" w:hAnsi="仿宋_GB2312" w:cs="仿宋_GB2312"/>
                <w:b w:val="0"/>
                <w:bCs w:val="0"/>
                <w:kern w:val="0"/>
                <w:sz w:val="21"/>
                <w:szCs w:val="21"/>
                <w:lang w:val="en-US" w:eastAsia="zh-CN"/>
              </w:rPr>
              <w:t>用</w:t>
            </w:r>
            <w:r>
              <w:rPr>
                <w:rFonts w:hint="eastAsia" w:ascii="仿宋_GB2312" w:hAnsi="仿宋_GB2312" w:eastAsia="仿宋_GB2312" w:cs="仿宋_GB2312"/>
                <w:b w:val="0"/>
                <w:bCs w:val="0"/>
                <w:kern w:val="0"/>
                <w:sz w:val="21"/>
                <w:szCs w:val="21"/>
                <w:lang w:val="en-US" w:eastAsia="zh-CN"/>
              </w:rPr>
              <w:t>。幼儿园不得在保教费外以开办实验班、特色班、兴趣班、课后培训班和亲子班等特色教育为名向幼儿家长另行收取费用，不得以任何名义向幼儿家长收取与入园挂钩的赞助费、捐资助学费、建校费、教育成本补偿费等费用。幼儿园不得收取书本费</w:t>
            </w:r>
            <w:r>
              <w:rPr>
                <w:rFonts w:hint="eastAsia" w:ascii="仿宋_GB2312" w:hAnsi="仿宋_GB2312" w:cs="仿宋_GB2312"/>
                <w:b w:val="0"/>
                <w:bCs w:val="0"/>
                <w:kern w:val="0"/>
                <w:sz w:val="21"/>
                <w:szCs w:val="21"/>
                <w:lang w:val="en-US" w:eastAsia="zh-CN"/>
              </w:rPr>
              <w:t>（1分）</w:t>
            </w:r>
            <w:r>
              <w:rPr>
                <w:rFonts w:hint="eastAsia" w:ascii="仿宋_GB2312" w:hAnsi="仿宋_GB2312" w:eastAsia="仿宋_GB2312" w:cs="仿宋_GB2312"/>
                <w:b w:val="0"/>
                <w:bCs w:val="0"/>
                <w:kern w:val="0"/>
                <w:sz w:val="21"/>
                <w:szCs w:val="21"/>
                <w:lang w:val="en-US" w:eastAsia="zh-CN"/>
              </w:rPr>
              <w:t>。幼儿园对入园幼儿按月或按学期收取保教费，不得跨学期预收</w:t>
            </w:r>
            <w:r>
              <w:rPr>
                <w:rFonts w:hint="eastAsia" w:ascii="仿宋_GB2312" w:hAnsi="仿宋_GB2312" w:cs="仿宋_GB2312"/>
                <w:b w:val="0"/>
                <w:bCs w:val="0"/>
                <w:kern w:val="0"/>
                <w:sz w:val="21"/>
                <w:szCs w:val="21"/>
                <w:lang w:val="en-US" w:eastAsia="zh-CN"/>
              </w:rPr>
              <w:t>（0.5分）</w:t>
            </w:r>
            <w:r>
              <w:rPr>
                <w:rFonts w:hint="eastAsia" w:ascii="仿宋_GB2312" w:hAnsi="仿宋_GB2312" w:eastAsia="仿宋_GB2312" w:cs="仿宋_GB2312"/>
                <w:b w:val="0"/>
                <w:bCs w:val="0"/>
                <w:kern w:val="0"/>
                <w:sz w:val="21"/>
                <w:szCs w:val="21"/>
                <w:lang w:val="en-US" w:eastAsia="zh-CN"/>
              </w:rPr>
              <w:t>。幼儿园应向家长出据收费凭据</w:t>
            </w:r>
            <w:r>
              <w:rPr>
                <w:rFonts w:hint="eastAsia" w:ascii="仿宋_GB2312" w:hAnsi="仿宋_GB2312" w:cs="仿宋_GB2312"/>
                <w:b w:val="0"/>
                <w:bCs w:val="0"/>
                <w:kern w:val="0"/>
                <w:sz w:val="21"/>
                <w:szCs w:val="21"/>
                <w:lang w:val="en-US" w:eastAsia="zh-CN"/>
              </w:rPr>
              <w:t>（0.5分）</w:t>
            </w:r>
            <w:r>
              <w:rPr>
                <w:rFonts w:hint="eastAsia" w:ascii="仿宋_GB2312" w:hAnsi="仿宋_GB2312" w:eastAsia="仿宋_GB2312" w:cs="仿宋_GB2312"/>
                <w:b w:val="0"/>
                <w:bCs w:val="0"/>
                <w:kern w:val="0"/>
                <w:sz w:val="21"/>
                <w:szCs w:val="21"/>
                <w:lang w:val="en-US" w:eastAsia="zh-CN"/>
              </w:rPr>
              <w:t>。</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sz w:val="21"/>
                <w:szCs w:val="21"/>
              </w:rPr>
            </w:pPr>
          </w:p>
        </w:tc>
      </w:tr>
      <w:tr>
        <w:trPr>
          <w:trHeight w:val="1409"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numPr>
                <w:numId w:val="0"/>
              </w:numPr>
              <w:spacing w:line="240" w:lineRule="auto"/>
              <w:ind w:leftChars="0"/>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42.保教费、住宿费的确定和备案。公办幼儿园保教费、住宿费实行政府指导价； 民办幼儿园保教费、住宿费实行市场调节价，须报当地价格主管部门、教育行政部门备案后执行；普惠性民办幼儿园参照公办幼儿园标准收费，也可由当地人民政府有关部门以合同约定等方式确定最高收费标准，由民办幼儿园在最高标准范围内制定具体收费标准，报当地价格、教育、财政部门备案后执行；民办幼儿园应在每学年秋季开学前完成收费备案，收费标准报备后原则上一个学年内不得变动。</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328"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43.服务性收费和代收费的收取。幼儿园为在园幼儿教育、生活提供方便而代收代管的费用，应遵循非营利和“家长自愿，据实收取，及时结算，定期发布，多退少补”的原则，收费必须单独立帐，不得与保教费一并收取。幼儿园服务性收费：延时托管费、校车费。幼儿园代收费：餐费（含营养餐点）、体检费、外出活动费。</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9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44.收费公示。幼儿园实行收费公示制度,通过设立公示栏、公示牌、公示墙等形式，向家长和社会公示收费项目、收费标准等相关内容，接受社会监督。</w:t>
            </w:r>
          </w:p>
        </w:tc>
        <w:tc>
          <w:tcPr>
            <w:tcW w:w="734"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 xml:space="preserve"> 实地查看</w:t>
            </w:r>
          </w:p>
          <w:p>
            <w:pPr>
              <w:pStyle w:val="4"/>
              <w:widowControl/>
              <w:spacing w:before="0" w:beforeAutospacing="0" w:after="0" w:afterAutospacing="0"/>
              <w:ind w:left="0" w:leftChars="0" w:right="0"/>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52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lang w:eastAsia="zh-CN"/>
              </w:rPr>
              <w:t>一</w:t>
            </w:r>
            <w:r>
              <w:rPr>
                <w:rFonts w:hint="eastAsia" w:ascii="仿宋_GB2312" w:hAnsi="仿宋_GB2312" w:eastAsia="仿宋_GB2312" w:cs="仿宋_GB2312"/>
                <w:b w:val="0"/>
                <w:bCs w:val="0"/>
                <w:sz w:val="21"/>
                <w:szCs w:val="21"/>
              </w:rPr>
              <w:t>级指标</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eastAsia="zh-CN"/>
              </w:rPr>
              <w:t>二</w:t>
            </w:r>
            <w:r>
              <w:rPr>
                <w:rFonts w:hint="eastAsia" w:ascii="仿宋_GB2312" w:hAnsi="仿宋_GB2312" w:eastAsia="仿宋_GB2312" w:cs="仿宋_GB2312"/>
                <w:b w:val="0"/>
                <w:bCs w:val="0"/>
                <w:sz w:val="21"/>
                <w:szCs w:val="21"/>
              </w:rPr>
              <w:t>级</w:t>
            </w:r>
          </w:p>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rPr>
              <w:t>指标</w:t>
            </w:r>
          </w:p>
        </w:tc>
        <w:tc>
          <w:tcPr>
            <w:tcW w:w="8690"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both"/>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val="en-US" w:eastAsia="zh-CN"/>
              </w:rPr>
              <w:t xml:space="preserve"> </w:t>
            </w:r>
            <w:r>
              <w:rPr>
                <w:rFonts w:hint="eastAsia" w:ascii="仿宋_GB2312" w:hAnsi="仿宋_GB2312" w:eastAsia="仿宋_GB2312" w:cs="仿宋_GB2312"/>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备注</w:t>
            </w:r>
          </w:p>
        </w:tc>
      </w:tr>
      <w:tr>
        <w:trPr>
          <w:trHeight w:val="582" w:hRule="atLeast"/>
        </w:trPr>
        <w:tc>
          <w:tcPr>
            <w:tcW w:w="958" w:type="dxa"/>
            <w:vMerge w:val="restart"/>
            <w:tcBorders>
              <w:top w:val="single" w:color="000000" w:sz="4" w:space="0"/>
              <w:left w:val="single" w:color="000000" w:sz="4" w:space="0"/>
              <w:right w:val="single" w:color="000000" w:sz="4" w:space="0"/>
            </w:tcBorders>
            <w:vAlign w:val="center"/>
          </w:tcPr>
          <w:p>
            <w:pPr>
              <w:numPr>
                <w:numId w:val="0"/>
              </w:numPr>
              <w:spacing w:line="240" w:lineRule="auto"/>
              <w:ind w:leftChars="0"/>
              <w:jc w:val="center"/>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val="en-US" w:eastAsia="zh-CN"/>
              </w:rPr>
              <w:t>三、园务   管理 （2</w:t>
            </w:r>
            <w:r>
              <w:rPr>
                <w:rFonts w:hint="eastAsia" w:ascii="仿宋_GB2312" w:hAnsi="仿宋_GB2312" w:cs="仿宋_GB2312"/>
                <w:b w:val="0"/>
                <w:bCs w:val="0"/>
                <w:kern w:val="0"/>
                <w:sz w:val="21"/>
                <w:szCs w:val="21"/>
                <w:lang w:val="en-US" w:eastAsia="zh-CN"/>
              </w:rPr>
              <w:t>5</w:t>
            </w:r>
            <w:r>
              <w:rPr>
                <w:rFonts w:hint="eastAsia" w:ascii="仿宋_GB2312" w:hAnsi="仿宋_GB2312" w:eastAsia="仿宋_GB2312" w:cs="仿宋_GB2312"/>
                <w:b w:val="0"/>
                <w:bCs w:val="0"/>
                <w:kern w:val="0"/>
                <w:sz w:val="21"/>
                <w:szCs w:val="21"/>
                <w:lang w:val="en-US" w:eastAsia="zh-CN"/>
              </w:rPr>
              <w:t>分）</w:t>
            </w:r>
          </w:p>
        </w:tc>
        <w:tc>
          <w:tcPr>
            <w:tcW w:w="900"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3.5</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财务</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管理</w:t>
            </w: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45.建立退费机制，规范处置退费事宜。幼儿因故退（转）园的，幼儿园应当根据幼儿实际在园时间，按月计退剩余的保教费、住宿费。不足半个月按半个月退费，超过半个月的，不退费；餐费按剩余天数退费。</w:t>
            </w:r>
          </w:p>
        </w:tc>
        <w:tc>
          <w:tcPr>
            <w:tcW w:w="734"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pStyle w:val="4"/>
              <w:widowControl/>
              <w:spacing w:before="0" w:beforeAutospacing="0" w:after="0" w:afterAutospacing="0"/>
              <w:ind w:left="0" w:leftChars="0" w:right="0"/>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90" w:hRule="atLeast"/>
        </w:trPr>
        <w:tc>
          <w:tcPr>
            <w:tcW w:w="958" w:type="dxa"/>
            <w:vMerge w:val="continue"/>
            <w:tcBorders>
              <w:left w:val="single" w:color="000000" w:sz="4" w:space="0"/>
              <w:right w:val="single" w:color="000000" w:sz="4" w:space="0"/>
            </w:tcBorders>
            <w:vAlign w:val="center"/>
          </w:tcPr>
          <w:p>
            <w:pPr>
              <w:numPr>
                <w:numId w:val="0"/>
              </w:numPr>
              <w:spacing w:line="240" w:lineRule="auto"/>
              <w:ind w:leftChars="0"/>
              <w:jc w:val="center"/>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46.幼儿园经费要专款专用,按规定的使用范围合理开支，有独立账目，账目清楚。幼儿园举办者筹措的经费,应当保证保育和教育的需要,膳食费应保证全部用于幼儿膳食,每月向家长公布账目。</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1731" w:hRule="atLeast"/>
        </w:trPr>
        <w:tc>
          <w:tcPr>
            <w:tcW w:w="958" w:type="dxa"/>
            <w:vMerge w:val="continue"/>
            <w:tcBorders>
              <w:left w:val="single" w:color="000000" w:sz="4" w:space="0"/>
              <w:right w:val="single" w:color="000000" w:sz="4" w:space="0"/>
            </w:tcBorders>
            <w:vAlign w:val="center"/>
          </w:tcPr>
          <w:p>
            <w:pPr>
              <w:numPr>
                <w:numId w:val="0"/>
              </w:numPr>
              <w:spacing w:line="240" w:lineRule="auto"/>
              <w:ind w:leftChars="0"/>
              <w:jc w:val="center"/>
              <w:rPr>
                <w:rFonts w:hint="eastAsia" w:ascii="仿宋_GB2312" w:hAnsi="仿宋_GB2312" w:eastAsia="仿宋_GB2312" w:cs="仿宋_GB2312"/>
                <w:b w:val="0"/>
                <w:bCs w:val="0"/>
                <w:kern w:val="0"/>
                <w:sz w:val="21"/>
                <w:szCs w:val="21"/>
                <w:lang w:eastAsia="zh-CN"/>
              </w:rPr>
            </w:pPr>
          </w:p>
        </w:tc>
        <w:tc>
          <w:tcPr>
            <w:tcW w:w="900" w:type="dxa"/>
            <w:tcBorders>
              <w:top w:val="single" w:color="000000" w:sz="4" w:space="0"/>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3.6</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招生    工作</w:t>
            </w:r>
          </w:p>
          <w:p>
            <w:pPr>
              <w:spacing w:line="240" w:lineRule="auto"/>
              <w:jc w:val="center"/>
              <w:rPr>
                <w:rFonts w:hint="eastAsia" w:ascii="仿宋_GB2312" w:hAnsi="仿宋_GB2312" w:eastAsia="仿宋_GB2312" w:cs="仿宋_GB2312"/>
                <w:b w:val="0"/>
                <w:bCs w:val="0"/>
                <w:kern w:val="0"/>
                <w:sz w:val="21"/>
                <w:szCs w:val="21"/>
                <w:lang w:val="en-US" w:eastAsia="zh-CN"/>
              </w:rPr>
            </w:pPr>
          </w:p>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47.规范招生工作。建立幼儿园招生制度，招生有计划，如实宣传园所。幼儿园招生简章应写明幼儿园性质、办园条件、收费项目和收费标准等内容。招生规范，无与幼儿入园挂钩的考试或测评。企业、事业单位和机关、团体、部队设置的幼儿园,除招收本单位工作人员的子女外,应当积极创造条件向社会开放,招收附近居民子女入园。城市(含市区和县城)不得举办任何形式的学前班</w:t>
            </w:r>
            <w:r>
              <w:rPr>
                <w:rFonts w:hint="eastAsia" w:ascii="仿宋_GB2312" w:hAnsi="仿宋_GB2312" w:cs="仿宋_GB2312"/>
                <w:b w:val="0"/>
                <w:bCs w:val="0"/>
                <w:color w:val="auto"/>
                <w:kern w:val="0"/>
                <w:sz w:val="21"/>
                <w:szCs w:val="21"/>
                <w:lang w:val="en-US" w:eastAsia="zh-CN"/>
              </w:rPr>
              <w:t>。</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 xml:space="preserve"> 查阅资料</w:t>
            </w:r>
          </w:p>
          <w:p>
            <w:pPr>
              <w:spacing w:line="240" w:lineRule="auto"/>
              <w:jc w:val="both"/>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 xml:space="preserve"> 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sz w:val="21"/>
                <w:szCs w:val="21"/>
              </w:rPr>
            </w:pPr>
          </w:p>
        </w:tc>
      </w:tr>
      <w:tr>
        <w:trPr>
          <w:trHeight w:val="493" w:hRule="atLeast"/>
        </w:trPr>
        <w:tc>
          <w:tcPr>
            <w:tcW w:w="958"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3.7</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家园</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工作</w:t>
            </w: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cs="仿宋_GB2312"/>
                <w:b w:val="0"/>
                <w:bCs w:val="0"/>
                <w:color w:val="auto"/>
                <w:kern w:val="0"/>
                <w:sz w:val="21"/>
                <w:szCs w:val="21"/>
                <w:lang w:val="en-US" w:eastAsia="zh-CN"/>
              </w:rPr>
              <w:t>48</w:t>
            </w:r>
            <w:r>
              <w:rPr>
                <w:rFonts w:hint="eastAsia" w:ascii="仿宋_GB2312" w:hAnsi="仿宋_GB2312" w:eastAsia="仿宋_GB2312" w:cs="仿宋_GB2312"/>
                <w:b w:val="0"/>
                <w:bCs w:val="0"/>
                <w:color w:val="auto"/>
                <w:kern w:val="0"/>
                <w:sz w:val="21"/>
                <w:szCs w:val="21"/>
                <w:lang w:val="en-US" w:eastAsia="zh-CN"/>
              </w:rPr>
              <w:t>.幼儿园应当建立幼儿园与家长联系的制度，成立家长委员会。加强与社区的联系与合作,促进家园共育。</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r>
      <w:tr>
        <w:trPr>
          <w:trHeight w:val="1629" w:hRule="atLeast"/>
        </w:trPr>
        <w:tc>
          <w:tcPr>
            <w:tcW w:w="958" w:type="dxa"/>
            <w:vMerge w:val="continue"/>
            <w:tcBorders>
              <w:left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p>
        </w:tc>
        <w:tc>
          <w:tcPr>
            <w:tcW w:w="900" w:type="dxa"/>
            <w:vMerge w:val="restart"/>
            <w:tcBorders>
              <w:top w:val="single" w:color="000000" w:sz="4" w:space="0"/>
              <w:left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3.8</w:t>
            </w: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安全</w:t>
            </w: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管理</w:t>
            </w: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cs="仿宋_GB2312"/>
                <w:b w:val="0"/>
                <w:bCs w:val="0"/>
                <w:color w:val="auto"/>
                <w:kern w:val="0"/>
                <w:sz w:val="21"/>
                <w:szCs w:val="21"/>
                <w:lang w:val="en-US" w:eastAsia="zh-CN"/>
              </w:rPr>
              <w:t>49</w:t>
            </w:r>
            <w:r>
              <w:rPr>
                <w:rFonts w:hint="eastAsia" w:ascii="仿宋_GB2312" w:hAnsi="仿宋_GB2312" w:eastAsia="仿宋_GB2312" w:cs="仿宋_GB2312"/>
                <w:b w:val="0"/>
                <w:bCs w:val="0"/>
                <w:color w:val="auto"/>
                <w:kern w:val="0"/>
                <w:sz w:val="21"/>
                <w:szCs w:val="21"/>
                <w:lang w:val="en-US" w:eastAsia="zh-CN"/>
              </w:rPr>
              <w:t>.幼儿园严格执行国家和地方幼儿园安全管理的相关规定,成立安全工作领导小组，建立健全门卫、房屋、设备、消防、交通、食品、药物、幼儿接送交接、活动组织和幼儿就寝值守等安全防护和检查制度，建立安全责任制和应急预案（0.5分）。与各岗位人员签订安全责任书，实行全员“一岗双责”，落实到岗到人（0.5分）。</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 xml:space="preserve"> 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792" w:hRule="atLeast"/>
        </w:trPr>
        <w:tc>
          <w:tcPr>
            <w:tcW w:w="958" w:type="dxa"/>
            <w:vMerge w:val="continue"/>
            <w:tcBorders>
              <w:left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color w:val="auto"/>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5</w:t>
            </w:r>
            <w:r>
              <w:rPr>
                <w:rFonts w:hint="eastAsia" w:ascii="仿宋_GB2312" w:hAnsi="仿宋_GB2312" w:cs="仿宋_GB2312"/>
                <w:b w:val="0"/>
                <w:bCs w:val="0"/>
                <w:color w:val="auto"/>
                <w:kern w:val="0"/>
                <w:sz w:val="21"/>
                <w:szCs w:val="21"/>
                <w:lang w:val="en-US" w:eastAsia="zh-CN"/>
              </w:rPr>
              <w:t>0</w:t>
            </w:r>
            <w:r>
              <w:rPr>
                <w:rFonts w:hint="eastAsia" w:ascii="仿宋_GB2312" w:hAnsi="仿宋_GB2312" w:eastAsia="仿宋_GB2312" w:cs="仿宋_GB2312"/>
                <w:b w:val="0"/>
                <w:bCs w:val="0"/>
                <w:color w:val="auto"/>
                <w:kern w:val="0"/>
                <w:sz w:val="21"/>
                <w:szCs w:val="21"/>
                <w:lang w:val="en-US" w:eastAsia="zh-CN"/>
              </w:rPr>
              <w:t>.幼儿园教职工必须具有安全意识,掌握基本急救常识和防范、避险、逃生、自救的基本方法,在紧急情况下应当优先保护幼儿的人身安全。</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521" w:hRule="atLeast"/>
        </w:trPr>
        <w:tc>
          <w:tcPr>
            <w:tcW w:w="958" w:type="dxa"/>
            <w:vMerge w:val="continue"/>
            <w:tcBorders>
              <w:left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color w:val="auto"/>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sz w:val="21"/>
                <w:szCs w:val="21"/>
                <w:lang w:val="en-US" w:eastAsia="zh-CN"/>
              </w:rPr>
              <w:t>5</w:t>
            </w:r>
            <w:r>
              <w:rPr>
                <w:rFonts w:hint="eastAsia" w:ascii="仿宋_GB2312" w:hAnsi="仿宋_GB2312" w:cs="仿宋_GB2312"/>
                <w:b w:val="0"/>
                <w:bCs w:val="0"/>
                <w:color w:val="auto"/>
                <w:sz w:val="21"/>
                <w:szCs w:val="21"/>
                <w:lang w:val="en-US" w:eastAsia="zh-CN"/>
              </w:rPr>
              <w:t>1</w:t>
            </w:r>
            <w:r>
              <w:rPr>
                <w:rFonts w:hint="eastAsia" w:ascii="仿宋_GB2312" w:hAnsi="仿宋_GB2312" w:eastAsia="仿宋_GB2312" w:cs="仿宋_GB2312"/>
                <w:b w:val="0"/>
                <w:bCs w:val="0"/>
                <w:color w:val="auto"/>
                <w:sz w:val="21"/>
                <w:szCs w:val="21"/>
                <w:lang w:val="en-US" w:eastAsia="zh-CN"/>
              </w:rPr>
              <w:t>.幼儿园应当把安全教育融入一日生活,并定期组织开展多种形式的安全教育和事故预防演练。</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52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lang w:eastAsia="zh-CN"/>
              </w:rPr>
              <w:t>一</w:t>
            </w:r>
            <w:r>
              <w:rPr>
                <w:rFonts w:hint="eastAsia" w:ascii="仿宋_GB2312" w:hAnsi="仿宋_GB2312" w:eastAsia="仿宋_GB2312" w:cs="仿宋_GB2312"/>
                <w:b w:val="0"/>
                <w:bCs w:val="0"/>
                <w:sz w:val="21"/>
                <w:szCs w:val="21"/>
              </w:rPr>
              <w:t>级指标</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eastAsia="zh-CN"/>
              </w:rPr>
              <w:t>二</w:t>
            </w:r>
            <w:r>
              <w:rPr>
                <w:rFonts w:hint="eastAsia" w:ascii="仿宋_GB2312" w:hAnsi="仿宋_GB2312" w:eastAsia="仿宋_GB2312" w:cs="仿宋_GB2312"/>
                <w:b w:val="0"/>
                <w:bCs w:val="0"/>
                <w:sz w:val="21"/>
                <w:szCs w:val="21"/>
              </w:rPr>
              <w:t>级</w:t>
            </w:r>
          </w:p>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rPr>
              <w:t>指标</w:t>
            </w:r>
          </w:p>
        </w:tc>
        <w:tc>
          <w:tcPr>
            <w:tcW w:w="8690"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both"/>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val="en-US" w:eastAsia="zh-CN"/>
              </w:rPr>
              <w:t xml:space="preserve"> </w:t>
            </w:r>
            <w:r>
              <w:rPr>
                <w:rFonts w:hint="eastAsia" w:ascii="仿宋_GB2312" w:hAnsi="仿宋_GB2312" w:eastAsia="仿宋_GB2312" w:cs="仿宋_GB2312"/>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备注</w:t>
            </w:r>
          </w:p>
        </w:tc>
      </w:tr>
      <w:tr>
        <w:trPr>
          <w:trHeight w:val="582" w:hRule="atLeast"/>
        </w:trPr>
        <w:tc>
          <w:tcPr>
            <w:tcW w:w="958" w:type="dxa"/>
            <w:vMerge w:val="restart"/>
            <w:tcBorders>
              <w:top w:val="single" w:color="000000" w:sz="4" w:space="0"/>
              <w:left w:val="single" w:color="000000" w:sz="4" w:space="0"/>
              <w:right w:val="single" w:color="000000" w:sz="4" w:space="0"/>
            </w:tcBorders>
            <w:vAlign w:val="center"/>
          </w:tcPr>
          <w:p>
            <w:pPr>
              <w:numPr>
                <w:numId w:val="0"/>
              </w:num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三、园务   管理 （2</w:t>
            </w:r>
            <w:r>
              <w:rPr>
                <w:rFonts w:hint="eastAsia" w:ascii="仿宋_GB2312" w:hAnsi="仿宋_GB2312" w:cs="仿宋_GB2312"/>
                <w:b w:val="0"/>
                <w:bCs w:val="0"/>
                <w:kern w:val="0"/>
                <w:sz w:val="21"/>
                <w:szCs w:val="21"/>
                <w:lang w:val="en-US" w:eastAsia="zh-CN"/>
              </w:rPr>
              <w:t>5</w:t>
            </w:r>
            <w:r>
              <w:rPr>
                <w:rFonts w:hint="eastAsia" w:ascii="仿宋_GB2312" w:hAnsi="仿宋_GB2312" w:eastAsia="仿宋_GB2312" w:cs="仿宋_GB2312"/>
                <w:b w:val="0"/>
                <w:bCs w:val="0"/>
                <w:kern w:val="0"/>
                <w:sz w:val="21"/>
                <w:szCs w:val="21"/>
                <w:lang w:val="en-US" w:eastAsia="zh-CN"/>
              </w:rPr>
              <w:t>分）</w:t>
            </w:r>
          </w:p>
        </w:tc>
        <w:tc>
          <w:tcPr>
            <w:tcW w:w="900" w:type="dxa"/>
            <w:vMerge w:val="restart"/>
            <w:tcBorders>
              <w:top w:val="single" w:color="000000" w:sz="4" w:space="0"/>
              <w:left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3.8</w:t>
            </w: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安全</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管理</w:t>
            </w: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5</w:t>
            </w:r>
            <w:r>
              <w:rPr>
                <w:rFonts w:hint="eastAsia" w:ascii="仿宋_GB2312" w:hAnsi="仿宋_GB2312" w:cs="仿宋_GB2312"/>
                <w:b w:val="0"/>
                <w:bCs w:val="0"/>
                <w:kern w:val="0"/>
                <w:sz w:val="21"/>
                <w:szCs w:val="21"/>
                <w:lang w:val="en-US" w:eastAsia="zh-CN"/>
              </w:rPr>
              <w:t>2</w:t>
            </w:r>
            <w:r>
              <w:rPr>
                <w:rFonts w:hint="eastAsia" w:ascii="仿宋_GB2312" w:hAnsi="仿宋_GB2312" w:eastAsia="仿宋_GB2312" w:cs="仿宋_GB2312"/>
                <w:b w:val="0"/>
                <w:bCs w:val="0"/>
                <w:kern w:val="0"/>
                <w:sz w:val="21"/>
                <w:szCs w:val="21"/>
                <w:lang w:val="en-US" w:eastAsia="zh-CN"/>
              </w:rPr>
              <w:t>.幼儿园定期开展安全检查，有会议、检查记录，有安全隐患排查、整治清单</w:t>
            </w:r>
            <w:r>
              <w:rPr>
                <w:rFonts w:hint="eastAsia" w:ascii="仿宋_GB2312" w:hAnsi="仿宋_GB2312" w:cs="仿宋_GB2312"/>
                <w:b w:val="0"/>
                <w:bCs w:val="0"/>
                <w:kern w:val="0"/>
                <w:sz w:val="21"/>
                <w:szCs w:val="21"/>
                <w:lang w:val="en-US" w:eastAsia="zh-CN"/>
              </w:rPr>
              <w:t>（1分）</w:t>
            </w:r>
            <w:r>
              <w:rPr>
                <w:rFonts w:hint="eastAsia" w:ascii="仿宋_GB2312" w:hAnsi="仿宋_GB2312" w:eastAsia="仿宋_GB2312" w:cs="仿宋_GB2312"/>
                <w:b w:val="0"/>
                <w:bCs w:val="0"/>
                <w:kern w:val="0"/>
                <w:sz w:val="21"/>
                <w:szCs w:val="21"/>
                <w:lang w:val="en-US" w:eastAsia="zh-CN"/>
              </w:rPr>
              <w:t>。加强门卫管理，严格落实外出人员、车辆检查登记制度（0.5分）。安装监控和一键报警设备，人防物防技防到位；按要求配备消防设施，并经常检查、定期更换，消防通道畅通（0.5分）。</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2</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582" w:hRule="atLeast"/>
        </w:trPr>
        <w:tc>
          <w:tcPr>
            <w:tcW w:w="958" w:type="dxa"/>
            <w:vMerge w:val="continue"/>
            <w:tcBorders>
              <w:left w:val="single" w:color="000000" w:sz="4" w:space="0"/>
              <w:right w:val="single" w:color="000000" w:sz="4" w:space="0"/>
            </w:tcBorders>
            <w:vAlign w:val="center"/>
          </w:tcPr>
          <w:p>
            <w:pPr>
              <w:numPr>
                <w:numId w:val="0"/>
              </w:numPr>
              <w:spacing w:line="240" w:lineRule="auto"/>
              <w:jc w:val="center"/>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5</w:t>
            </w:r>
            <w:r>
              <w:rPr>
                <w:rFonts w:hint="eastAsia" w:ascii="仿宋_GB2312" w:hAnsi="仿宋_GB2312" w:cs="仿宋_GB2312"/>
                <w:b w:val="0"/>
                <w:bCs w:val="0"/>
                <w:kern w:val="0"/>
                <w:sz w:val="21"/>
                <w:szCs w:val="21"/>
                <w:lang w:val="en-US" w:eastAsia="zh-CN"/>
              </w:rPr>
              <w:t>3</w:t>
            </w:r>
            <w:r>
              <w:rPr>
                <w:rFonts w:hint="eastAsia" w:ascii="仿宋_GB2312" w:hAnsi="仿宋_GB2312" w:eastAsia="仿宋_GB2312" w:cs="仿宋_GB2312"/>
                <w:b w:val="0"/>
                <w:bCs w:val="0"/>
                <w:kern w:val="0"/>
                <w:sz w:val="21"/>
                <w:szCs w:val="21"/>
                <w:lang w:val="en-US" w:eastAsia="zh-CN"/>
              </w:rPr>
              <w:t>.幼儿园应当投保校方责任险。</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582" w:hRule="atLeast"/>
        </w:trPr>
        <w:tc>
          <w:tcPr>
            <w:tcW w:w="958" w:type="dxa"/>
            <w:vMerge w:val="restart"/>
            <w:tcBorders>
              <w:top w:val="single" w:color="000000" w:sz="4" w:space="0"/>
              <w:left w:val="single" w:color="000000" w:sz="4" w:space="0"/>
              <w:right w:val="single" w:color="000000" w:sz="4" w:space="0"/>
            </w:tcBorders>
            <w:vAlign w:val="center"/>
          </w:tcPr>
          <w:p>
            <w:pPr>
              <w:numPr>
                <w:numId w:val="0"/>
              </w:numPr>
              <w:spacing w:line="240" w:lineRule="auto"/>
              <w:jc w:val="center"/>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四、</w:t>
            </w:r>
            <w:r>
              <w:rPr>
                <w:rFonts w:hint="eastAsia" w:ascii="仿宋_GB2312" w:hAnsi="仿宋_GB2312" w:cs="仿宋_GB2312"/>
                <w:b w:val="0"/>
                <w:bCs w:val="0"/>
                <w:kern w:val="0"/>
                <w:sz w:val="21"/>
                <w:szCs w:val="21"/>
                <w:lang w:eastAsia="zh-CN"/>
              </w:rPr>
              <w:t>队伍建设</w:t>
            </w:r>
            <w:r>
              <w:rPr>
                <w:rFonts w:hint="eastAsia" w:ascii="仿宋_GB2312" w:hAnsi="仿宋_GB2312" w:eastAsia="仿宋_GB2312" w:cs="仿宋_GB2312"/>
                <w:b w:val="0"/>
                <w:bCs w:val="0"/>
                <w:kern w:val="0"/>
                <w:sz w:val="21"/>
                <w:szCs w:val="21"/>
                <w:lang w:val="en-US" w:eastAsia="zh-CN"/>
              </w:rPr>
              <w:t>（1</w:t>
            </w:r>
            <w:r>
              <w:rPr>
                <w:rFonts w:hint="eastAsia" w:ascii="仿宋_GB2312" w:hAnsi="仿宋_GB2312" w:cs="仿宋_GB2312"/>
                <w:b w:val="0"/>
                <w:bCs w:val="0"/>
                <w:kern w:val="0"/>
                <w:sz w:val="21"/>
                <w:szCs w:val="21"/>
                <w:lang w:val="en-US" w:eastAsia="zh-CN"/>
              </w:rPr>
              <w:t>5</w:t>
            </w:r>
            <w:r>
              <w:rPr>
                <w:rFonts w:hint="eastAsia" w:ascii="仿宋_GB2312" w:hAnsi="仿宋_GB2312" w:eastAsia="仿宋_GB2312" w:cs="仿宋_GB2312"/>
                <w:b w:val="0"/>
                <w:bCs w:val="0"/>
                <w:kern w:val="0"/>
                <w:sz w:val="21"/>
                <w:szCs w:val="21"/>
                <w:lang w:val="en-US" w:eastAsia="zh-CN"/>
              </w:rPr>
              <w:t>分）</w:t>
            </w:r>
          </w:p>
        </w:tc>
        <w:tc>
          <w:tcPr>
            <w:tcW w:w="900"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4.1</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人员</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配备</w:t>
            </w:r>
          </w:p>
          <w:p>
            <w:pPr>
              <w:spacing w:line="240" w:lineRule="auto"/>
              <w:jc w:val="left"/>
              <w:rPr>
                <w:rFonts w:hint="eastAsia" w:ascii="仿宋_GB2312" w:hAnsi="仿宋_GB2312" w:eastAsia="仿宋_GB2312" w:cs="仿宋_GB2312"/>
                <w:b w:val="0"/>
                <w:bCs w:val="0"/>
                <w:kern w:val="0"/>
                <w:sz w:val="21"/>
                <w:szCs w:val="21"/>
                <w:lang w:val="en-US" w:eastAsia="zh-CN"/>
              </w:rPr>
            </w:pPr>
          </w:p>
          <w:p>
            <w:pPr>
              <w:spacing w:line="240" w:lineRule="auto"/>
              <w:jc w:val="left"/>
              <w:rPr>
                <w:rFonts w:hint="eastAsia" w:ascii="仿宋_GB2312" w:hAnsi="仿宋_GB2312" w:eastAsia="仿宋_GB2312" w:cs="仿宋_GB2312"/>
                <w:b w:val="0"/>
                <w:bCs w:val="0"/>
                <w:kern w:val="0"/>
                <w:sz w:val="21"/>
                <w:szCs w:val="21"/>
                <w:lang w:val="en-US" w:eastAsia="zh-CN"/>
              </w:rPr>
            </w:pPr>
          </w:p>
          <w:p>
            <w:pPr>
              <w:spacing w:line="240" w:lineRule="auto"/>
              <w:jc w:val="left"/>
              <w:rPr>
                <w:rFonts w:hint="eastAsia" w:ascii="仿宋_GB2312" w:hAnsi="仿宋_GB2312" w:eastAsia="仿宋_GB2312" w:cs="仿宋_GB2312"/>
                <w:b w:val="0"/>
                <w:bCs w:val="0"/>
                <w:kern w:val="0"/>
                <w:sz w:val="21"/>
                <w:szCs w:val="21"/>
                <w:lang w:val="en-US" w:eastAsia="zh-CN"/>
              </w:rPr>
            </w:pPr>
          </w:p>
          <w:p>
            <w:pPr>
              <w:spacing w:line="240" w:lineRule="auto"/>
              <w:jc w:val="left"/>
              <w:rPr>
                <w:rFonts w:hint="eastAsia" w:ascii="仿宋_GB2312" w:hAnsi="仿宋_GB2312" w:eastAsia="仿宋_GB2312" w:cs="仿宋_GB2312"/>
                <w:b w:val="0"/>
                <w:bCs w:val="0"/>
                <w:kern w:val="0"/>
                <w:sz w:val="21"/>
                <w:szCs w:val="21"/>
                <w:lang w:val="en-US" w:eastAsia="zh-CN"/>
              </w:rPr>
            </w:pPr>
          </w:p>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5</w:t>
            </w:r>
            <w:r>
              <w:rPr>
                <w:rFonts w:hint="eastAsia" w:ascii="仿宋_GB2312" w:hAnsi="仿宋_GB2312" w:cs="仿宋_GB2312"/>
                <w:b w:val="0"/>
                <w:bCs w:val="0"/>
                <w:kern w:val="0"/>
                <w:sz w:val="21"/>
                <w:szCs w:val="21"/>
                <w:lang w:val="en-US" w:eastAsia="zh-CN"/>
              </w:rPr>
              <w:t>4</w:t>
            </w:r>
            <w:r>
              <w:rPr>
                <w:rFonts w:hint="eastAsia" w:ascii="仿宋_GB2312" w:hAnsi="仿宋_GB2312" w:eastAsia="仿宋_GB2312" w:cs="仿宋_GB2312"/>
                <w:b w:val="0"/>
                <w:bCs w:val="0"/>
                <w:kern w:val="0"/>
                <w:sz w:val="21"/>
                <w:szCs w:val="21"/>
                <w:lang w:val="en-US" w:eastAsia="zh-CN"/>
              </w:rPr>
              <w:t>.幼儿园按照国家相关规定设园长、副园长、教师、保育员、卫生保健人员、炊事员和其他工作人员等岗位,依据《幼儿园教职工配备标准（暂行）》合理配备教职工。教职工与幼儿比例：全日制1:5—1:7，半日制1:8—1:10。保教人员与幼儿比例：全日制1:7—1：9，半日制1:11—1:13。</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sz w:val="21"/>
                <w:szCs w:val="21"/>
              </w:rPr>
            </w:pPr>
          </w:p>
        </w:tc>
      </w:tr>
      <w:tr>
        <w:trPr>
          <w:trHeight w:val="181" w:hRule="atLeast"/>
        </w:trPr>
        <w:tc>
          <w:tcPr>
            <w:tcW w:w="958"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5</w:t>
            </w:r>
            <w:r>
              <w:rPr>
                <w:rFonts w:hint="eastAsia" w:ascii="仿宋_GB2312" w:hAnsi="仿宋_GB2312" w:cs="仿宋_GB2312"/>
                <w:b w:val="0"/>
                <w:bCs w:val="0"/>
                <w:kern w:val="0"/>
                <w:sz w:val="21"/>
                <w:szCs w:val="21"/>
                <w:lang w:val="en-US" w:eastAsia="zh-CN"/>
              </w:rPr>
              <w:t>5</w:t>
            </w:r>
            <w:r>
              <w:rPr>
                <w:rFonts w:hint="eastAsia" w:ascii="仿宋_GB2312" w:hAnsi="仿宋_GB2312" w:eastAsia="仿宋_GB2312" w:cs="仿宋_GB2312"/>
                <w:b w:val="0"/>
                <w:bCs w:val="0"/>
                <w:kern w:val="0"/>
                <w:sz w:val="21"/>
                <w:szCs w:val="21"/>
                <w:lang w:val="en-US" w:eastAsia="zh-CN"/>
              </w:rPr>
              <w:t>.园长：6个班以下的幼儿园设1名，6～9个班的幼儿园不超过2名，10个班及以上的幼儿园可设3名。园长须具备大专以上学历，具有《教师资格条例》规定的教师资格（0.5分）。有3年以上幼儿园工作经历和一定的组织管理能力，并取得幼儿园园长岗位培训合格证书（0.5分）。</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sz w:val="21"/>
                <w:szCs w:val="21"/>
              </w:rPr>
            </w:pPr>
          </w:p>
        </w:tc>
      </w:tr>
      <w:tr>
        <w:trPr>
          <w:trHeight w:val="1469" w:hRule="atLeast"/>
        </w:trPr>
        <w:tc>
          <w:tcPr>
            <w:tcW w:w="958" w:type="dxa"/>
            <w:vMerge w:val="continue"/>
            <w:tcBorders>
              <w:left w:val="single" w:color="000000" w:sz="4" w:space="0"/>
              <w:right w:val="single" w:color="000000" w:sz="4" w:space="0"/>
            </w:tcBorders>
            <w:vAlign w:val="center"/>
          </w:tcPr>
          <w:p>
            <w:pPr>
              <w:numPr>
                <w:numId w:val="0"/>
              </w:numPr>
              <w:spacing w:line="240" w:lineRule="auto"/>
              <w:ind w:leftChars="0"/>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5</w:t>
            </w:r>
            <w:r>
              <w:rPr>
                <w:rFonts w:hint="eastAsia" w:ascii="仿宋_GB2312" w:hAnsi="仿宋_GB2312" w:cs="仿宋_GB2312"/>
                <w:b w:val="0"/>
                <w:bCs w:val="0"/>
                <w:kern w:val="0"/>
                <w:sz w:val="21"/>
                <w:szCs w:val="21"/>
                <w:lang w:val="en-US" w:eastAsia="zh-CN"/>
              </w:rPr>
              <w:t>6</w:t>
            </w:r>
            <w:r>
              <w:rPr>
                <w:rFonts w:hint="eastAsia" w:ascii="仿宋_GB2312" w:hAnsi="仿宋_GB2312" w:eastAsia="仿宋_GB2312" w:cs="仿宋_GB2312"/>
                <w:b w:val="0"/>
                <w:bCs w:val="0"/>
                <w:kern w:val="0"/>
                <w:sz w:val="21"/>
                <w:szCs w:val="21"/>
                <w:lang w:val="en-US" w:eastAsia="zh-CN"/>
              </w:rPr>
              <w:t>.专任教师和保育员：全日制幼儿园每班配备2名专任教师和1名保育员，或配备3名专任教师；半日制幼儿园每班配备2名专任教师，有条件的可配备1名保育员</w:t>
            </w:r>
            <w:r>
              <w:rPr>
                <w:rFonts w:hint="eastAsia" w:ascii="仿宋_GB2312" w:hAnsi="仿宋_GB2312" w:cs="仿宋_GB2312"/>
                <w:b w:val="0"/>
                <w:bCs w:val="0"/>
                <w:kern w:val="0"/>
                <w:sz w:val="21"/>
                <w:szCs w:val="21"/>
                <w:lang w:val="en-US" w:eastAsia="zh-CN"/>
              </w:rPr>
              <w:t>。</w:t>
            </w:r>
            <w:r>
              <w:rPr>
                <w:rFonts w:hint="eastAsia" w:ascii="仿宋_GB2312" w:hAnsi="仿宋_GB2312" w:eastAsia="仿宋_GB2312" w:cs="仿宋_GB2312"/>
                <w:b w:val="0"/>
                <w:bCs w:val="0"/>
                <w:kern w:val="0"/>
                <w:sz w:val="21"/>
                <w:szCs w:val="21"/>
                <w:lang w:val="en-US" w:eastAsia="zh-CN"/>
              </w:rPr>
              <w:t>寄宿制幼儿园至少应在全日制幼儿园基础上每班增配1名专任教师和1名保育员</w:t>
            </w:r>
            <w:r>
              <w:rPr>
                <w:rFonts w:hint="eastAsia" w:ascii="仿宋_GB2312" w:hAnsi="仿宋_GB2312" w:cs="仿宋_GB2312"/>
                <w:b w:val="0"/>
                <w:bCs w:val="0"/>
                <w:kern w:val="0"/>
                <w:sz w:val="21"/>
                <w:szCs w:val="21"/>
                <w:lang w:val="en-US" w:eastAsia="zh-CN"/>
              </w:rPr>
              <w:t>。（1分）</w:t>
            </w:r>
            <w:r>
              <w:rPr>
                <w:rFonts w:hint="eastAsia" w:ascii="仿宋_GB2312" w:hAnsi="仿宋_GB2312" w:eastAsia="仿宋_GB2312" w:cs="仿宋_GB2312"/>
                <w:b w:val="0"/>
                <w:bCs w:val="0"/>
                <w:kern w:val="0"/>
                <w:sz w:val="21"/>
                <w:szCs w:val="21"/>
                <w:lang w:val="en-US" w:eastAsia="zh-CN"/>
              </w:rPr>
              <w:t>专任教师均具备幼儿师范学校或职业学校幼师班毕业以上文化水平，100%取得《教师资格条例》规定的幼儿园教师资格</w:t>
            </w:r>
            <w:r>
              <w:rPr>
                <w:rFonts w:hint="eastAsia" w:ascii="仿宋_GB2312" w:hAnsi="仿宋_GB2312" w:cs="仿宋_GB2312"/>
                <w:b w:val="0"/>
                <w:bCs w:val="0"/>
                <w:kern w:val="0"/>
                <w:sz w:val="21"/>
                <w:szCs w:val="21"/>
                <w:lang w:val="en-US" w:eastAsia="zh-CN"/>
              </w:rPr>
              <w:t>。</w:t>
            </w:r>
            <w:r>
              <w:rPr>
                <w:rFonts w:hint="eastAsia" w:ascii="仿宋_GB2312" w:hAnsi="仿宋_GB2312" w:eastAsia="仿宋_GB2312" w:cs="仿宋_GB2312"/>
                <w:b w:val="0"/>
                <w:bCs w:val="0"/>
                <w:kern w:val="0"/>
                <w:sz w:val="21"/>
                <w:szCs w:val="21"/>
                <w:lang w:val="en-US" w:eastAsia="zh-CN"/>
              </w:rPr>
              <w:t>（0.5分）保育员应当具备高中毕业以上学历,100%受过幼儿保育职业培训。（0.5分）</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 xml:space="preserve">  2分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328" w:hRule="atLeast"/>
        </w:trPr>
        <w:tc>
          <w:tcPr>
            <w:tcW w:w="958"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5</w:t>
            </w:r>
            <w:r>
              <w:rPr>
                <w:rFonts w:hint="eastAsia" w:ascii="仿宋_GB2312" w:hAnsi="仿宋_GB2312" w:cs="仿宋_GB2312"/>
                <w:b w:val="0"/>
                <w:bCs w:val="0"/>
                <w:kern w:val="0"/>
                <w:sz w:val="21"/>
                <w:szCs w:val="21"/>
                <w:lang w:val="en-US" w:eastAsia="zh-CN"/>
              </w:rPr>
              <w:t>7</w:t>
            </w:r>
            <w:r>
              <w:rPr>
                <w:rFonts w:hint="eastAsia" w:ascii="仿宋_GB2312" w:hAnsi="仿宋_GB2312" w:eastAsia="仿宋_GB2312" w:cs="仿宋_GB2312"/>
                <w:b w:val="0"/>
                <w:bCs w:val="0"/>
                <w:kern w:val="0"/>
                <w:sz w:val="21"/>
                <w:szCs w:val="21"/>
                <w:lang w:val="en-US" w:eastAsia="zh-CN"/>
              </w:rPr>
              <w:t>.卫生保健人员：包括医师、护士和保健员</w:t>
            </w:r>
            <w:r>
              <w:rPr>
                <w:rFonts w:hint="eastAsia" w:ascii="仿宋_GB2312" w:hAnsi="仿宋_GB2312" w:cs="仿宋_GB2312"/>
                <w:b w:val="0"/>
                <w:bCs w:val="0"/>
                <w:kern w:val="0"/>
                <w:sz w:val="21"/>
                <w:szCs w:val="21"/>
                <w:lang w:val="en-US" w:eastAsia="zh-CN"/>
              </w:rPr>
              <w:t>。</w:t>
            </w:r>
            <w:r>
              <w:rPr>
                <w:rFonts w:hint="eastAsia" w:ascii="仿宋_GB2312" w:hAnsi="仿宋_GB2312" w:eastAsia="仿宋_GB2312" w:cs="仿宋_GB2312"/>
                <w:b w:val="0"/>
                <w:bCs w:val="0"/>
                <w:kern w:val="0"/>
                <w:sz w:val="21"/>
                <w:szCs w:val="21"/>
                <w:lang w:val="en-US" w:eastAsia="zh-CN"/>
              </w:rPr>
              <w:t>保健医师应当取得卫生行政部门颁发的《医师执业证书》，保健护士应当取得《护士执业证书》</w:t>
            </w:r>
            <w:r>
              <w:rPr>
                <w:rFonts w:hint="eastAsia" w:ascii="仿宋_GB2312" w:hAnsi="仿宋_GB2312" w:cs="仿宋_GB2312"/>
                <w:b w:val="0"/>
                <w:bCs w:val="0"/>
                <w:kern w:val="0"/>
                <w:sz w:val="21"/>
                <w:szCs w:val="21"/>
                <w:lang w:val="en-US" w:eastAsia="zh-CN"/>
              </w:rPr>
              <w:t>；</w:t>
            </w:r>
            <w:r>
              <w:rPr>
                <w:rFonts w:hint="eastAsia" w:ascii="仿宋_GB2312" w:hAnsi="仿宋_GB2312" w:eastAsia="仿宋_GB2312" w:cs="仿宋_GB2312"/>
                <w:b w:val="0"/>
                <w:bCs w:val="0"/>
                <w:kern w:val="0"/>
                <w:sz w:val="21"/>
                <w:szCs w:val="21"/>
                <w:lang w:val="en-US" w:eastAsia="zh-CN"/>
              </w:rPr>
              <w:t>保健员应当具有高中以上学历，上岗前经过当地妇幼保健机构组织的卫生保健专业知识培训并考核合格，具有托幼机构卫生保健基础知识，掌握卫生消毒、传染病管理和营养膳食管理等技能。（1分）按照收托150名儿童至少设1名专职卫生保健人员的比例配备卫生保健人员，收托150名以下儿童的可配备兼职卫生保健人员。（1分）</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2</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 xml:space="preserve"> 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52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lang w:eastAsia="zh-CN"/>
              </w:rPr>
              <w:t>一</w:t>
            </w:r>
            <w:r>
              <w:rPr>
                <w:rFonts w:hint="eastAsia" w:ascii="仿宋_GB2312" w:hAnsi="仿宋_GB2312" w:eastAsia="仿宋_GB2312" w:cs="仿宋_GB2312"/>
                <w:b w:val="0"/>
                <w:bCs w:val="0"/>
                <w:sz w:val="21"/>
                <w:szCs w:val="21"/>
              </w:rPr>
              <w:t>级指标</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eastAsia="zh-CN"/>
              </w:rPr>
              <w:t>二</w:t>
            </w:r>
            <w:r>
              <w:rPr>
                <w:rFonts w:hint="eastAsia" w:ascii="仿宋_GB2312" w:hAnsi="仿宋_GB2312" w:eastAsia="仿宋_GB2312" w:cs="仿宋_GB2312"/>
                <w:b w:val="0"/>
                <w:bCs w:val="0"/>
                <w:sz w:val="21"/>
                <w:szCs w:val="21"/>
              </w:rPr>
              <w:t>级</w:t>
            </w:r>
          </w:p>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rPr>
              <w:t>指标</w:t>
            </w:r>
          </w:p>
        </w:tc>
        <w:tc>
          <w:tcPr>
            <w:tcW w:w="8690"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both"/>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val="en-US" w:eastAsia="zh-CN"/>
              </w:rPr>
              <w:t xml:space="preserve"> </w:t>
            </w:r>
            <w:r>
              <w:rPr>
                <w:rFonts w:hint="eastAsia" w:ascii="仿宋_GB2312" w:hAnsi="仿宋_GB2312" w:eastAsia="仿宋_GB2312" w:cs="仿宋_GB2312"/>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备注</w:t>
            </w:r>
          </w:p>
        </w:tc>
      </w:tr>
      <w:tr>
        <w:trPr>
          <w:trHeight w:val="520" w:hRule="atLeast"/>
        </w:trPr>
        <w:tc>
          <w:tcPr>
            <w:tcW w:w="958" w:type="dxa"/>
            <w:vMerge w:val="restart"/>
            <w:tcBorders>
              <w:top w:val="single" w:color="000000" w:sz="4" w:space="0"/>
              <w:left w:val="single" w:color="000000" w:sz="4" w:space="0"/>
              <w:right w:val="single" w:color="000000" w:sz="4" w:space="0"/>
            </w:tcBorders>
            <w:vAlign w:val="center"/>
          </w:tcPr>
          <w:p>
            <w:pPr>
              <w:numPr>
                <w:numId w:val="0"/>
              </w:numPr>
              <w:spacing w:line="240" w:lineRule="auto"/>
              <w:jc w:val="center"/>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四、</w:t>
            </w:r>
            <w:r>
              <w:rPr>
                <w:rFonts w:hint="eastAsia" w:ascii="仿宋_GB2312" w:hAnsi="仿宋_GB2312" w:cs="仿宋_GB2312"/>
                <w:b w:val="0"/>
                <w:bCs w:val="0"/>
                <w:kern w:val="0"/>
                <w:sz w:val="21"/>
                <w:szCs w:val="21"/>
                <w:lang w:eastAsia="zh-CN"/>
              </w:rPr>
              <w:t>队伍建设</w:t>
            </w:r>
            <w:r>
              <w:rPr>
                <w:rFonts w:hint="eastAsia" w:ascii="仿宋_GB2312" w:hAnsi="仿宋_GB2312" w:eastAsia="仿宋_GB2312" w:cs="仿宋_GB2312"/>
                <w:b w:val="0"/>
                <w:bCs w:val="0"/>
                <w:kern w:val="0"/>
                <w:sz w:val="21"/>
                <w:szCs w:val="21"/>
                <w:lang w:val="en-US" w:eastAsia="zh-CN"/>
              </w:rPr>
              <w:t>（1</w:t>
            </w:r>
            <w:r>
              <w:rPr>
                <w:rFonts w:hint="eastAsia" w:ascii="仿宋_GB2312" w:hAnsi="仿宋_GB2312" w:cs="仿宋_GB2312"/>
                <w:b w:val="0"/>
                <w:bCs w:val="0"/>
                <w:kern w:val="0"/>
                <w:sz w:val="21"/>
                <w:szCs w:val="21"/>
                <w:lang w:val="en-US" w:eastAsia="zh-CN"/>
              </w:rPr>
              <w:t>5</w:t>
            </w:r>
            <w:r>
              <w:rPr>
                <w:rFonts w:hint="eastAsia" w:ascii="仿宋_GB2312" w:hAnsi="仿宋_GB2312" w:eastAsia="仿宋_GB2312" w:cs="仿宋_GB2312"/>
                <w:b w:val="0"/>
                <w:bCs w:val="0"/>
                <w:kern w:val="0"/>
                <w:sz w:val="21"/>
                <w:szCs w:val="21"/>
                <w:lang w:val="en-US" w:eastAsia="zh-CN"/>
              </w:rPr>
              <w:t>分）</w:t>
            </w:r>
          </w:p>
        </w:tc>
        <w:tc>
          <w:tcPr>
            <w:tcW w:w="900"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4.1</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人员</w:t>
            </w:r>
          </w:p>
          <w:p>
            <w:pPr>
              <w:spacing w:line="240" w:lineRule="auto"/>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kern w:val="0"/>
                <w:sz w:val="21"/>
                <w:szCs w:val="21"/>
                <w:lang w:val="en-US" w:eastAsia="zh-CN"/>
              </w:rPr>
              <w:t>配备</w:t>
            </w: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58</w:t>
            </w:r>
            <w:r>
              <w:rPr>
                <w:rFonts w:hint="eastAsia" w:ascii="仿宋_GB2312" w:hAnsi="仿宋_GB2312" w:eastAsia="仿宋_GB2312" w:cs="仿宋_GB2312"/>
                <w:b w:val="0"/>
                <w:bCs w:val="0"/>
                <w:kern w:val="0"/>
                <w:sz w:val="21"/>
                <w:szCs w:val="21"/>
                <w:lang w:val="en-US" w:eastAsia="zh-CN"/>
              </w:rPr>
              <w:t>.炊事人员：幼儿园应根据餐点提供的实际需要和就餐幼儿人数配备适宜的炊事人员。每日三餐一点的幼儿园每40～45名幼儿配1名；少于三餐一点的幼儿园酌减；在园幼儿人数少于40名的供餐幼儿园（班）应配备1名专职炊事员。</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 xml:space="preserve">  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397" w:hRule="atLeast"/>
        </w:trPr>
        <w:tc>
          <w:tcPr>
            <w:tcW w:w="958" w:type="dxa"/>
            <w:vMerge w:val="continue"/>
            <w:tcBorders>
              <w:left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b w:val="0"/>
                <w:bCs w:val="0"/>
                <w:sz w:val="21"/>
                <w:szCs w:val="21"/>
                <w:lang w:eastAsia="zh-CN"/>
              </w:rPr>
            </w:pPr>
          </w:p>
        </w:tc>
        <w:tc>
          <w:tcPr>
            <w:tcW w:w="900" w:type="dxa"/>
            <w:vMerge w:val="continue"/>
            <w:tcBorders>
              <w:left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b w:val="0"/>
                <w:bCs w:val="0"/>
                <w:sz w:val="21"/>
                <w:szCs w:val="21"/>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59</w:t>
            </w:r>
            <w:r>
              <w:rPr>
                <w:rFonts w:hint="eastAsia" w:ascii="仿宋_GB2312" w:hAnsi="仿宋_GB2312" w:eastAsia="仿宋_GB2312" w:cs="仿宋_GB2312"/>
                <w:b w:val="0"/>
                <w:bCs w:val="0"/>
                <w:kern w:val="0"/>
                <w:sz w:val="21"/>
                <w:szCs w:val="21"/>
                <w:lang w:val="en-US" w:eastAsia="zh-CN"/>
              </w:rPr>
              <w:t>.财会人员：根据国家和地方有关财会工作规定配备。</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331" w:hRule="atLeast"/>
        </w:trPr>
        <w:tc>
          <w:tcPr>
            <w:tcW w:w="958" w:type="dxa"/>
            <w:vMerge w:val="continue"/>
            <w:tcBorders>
              <w:left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b w:val="0"/>
                <w:bCs w:val="0"/>
                <w:sz w:val="21"/>
                <w:szCs w:val="21"/>
                <w:lang w:eastAsia="zh-CN"/>
              </w:rPr>
            </w:pPr>
          </w:p>
        </w:tc>
        <w:tc>
          <w:tcPr>
            <w:tcW w:w="900" w:type="dxa"/>
            <w:vMerge w:val="continue"/>
            <w:tcBorders>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b w:val="0"/>
                <w:bCs w:val="0"/>
                <w:sz w:val="21"/>
                <w:szCs w:val="21"/>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color w:val="auto"/>
                <w:kern w:val="0"/>
                <w:sz w:val="21"/>
                <w:szCs w:val="21"/>
                <w:lang w:val="en-US" w:eastAsia="zh-CN"/>
              </w:rPr>
              <w:t>60</w:t>
            </w:r>
            <w:r>
              <w:rPr>
                <w:rFonts w:hint="eastAsia" w:ascii="仿宋_GB2312" w:hAnsi="仿宋_GB2312" w:eastAsia="仿宋_GB2312" w:cs="仿宋_GB2312"/>
                <w:b w:val="0"/>
                <w:bCs w:val="0"/>
                <w:color w:val="auto"/>
                <w:kern w:val="0"/>
                <w:sz w:val="21"/>
                <w:szCs w:val="21"/>
                <w:lang w:val="en-US" w:eastAsia="zh-CN"/>
              </w:rPr>
              <w:t>.安保人员：根据国家和地方有关安保工作规定配备。</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0.5分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1958" w:hRule="atLeast"/>
        </w:trPr>
        <w:tc>
          <w:tcPr>
            <w:tcW w:w="958" w:type="dxa"/>
            <w:vMerge w:val="continue"/>
            <w:tcBorders>
              <w:left w:val="single" w:color="000000" w:sz="4" w:space="0"/>
              <w:right w:val="single" w:color="000000" w:sz="4" w:space="0"/>
            </w:tcBorders>
            <w:vAlign w:val="center"/>
          </w:tcPr>
          <w:p>
            <w:pPr>
              <w:numPr>
                <w:numId w:val="0"/>
              </w:numPr>
              <w:spacing w:line="240" w:lineRule="auto"/>
              <w:jc w:val="center"/>
              <w:rPr>
                <w:rFonts w:hint="eastAsia" w:ascii="仿宋_GB2312" w:hAnsi="仿宋_GB2312" w:eastAsia="仿宋_GB2312" w:cs="仿宋_GB2312"/>
                <w:b w:val="0"/>
                <w:bCs w:val="0"/>
                <w:kern w:val="0"/>
                <w:sz w:val="21"/>
                <w:szCs w:val="21"/>
                <w:lang w:eastAsia="zh-CN"/>
              </w:rPr>
            </w:pPr>
          </w:p>
        </w:tc>
        <w:tc>
          <w:tcPr>
            <w:tcW w:w="900"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4.2</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素养</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要求</w:t>
            </w:r>
          </w:p>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6</w:t>
            </w: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幼儿园教职工应当贯彻国家教育方针,具有良好品德,热爱教育事业,尊重和爱护幼儿,具有专业知识和技能以及相应的文化和专业素养,为人师表,忠于职责,身心健康（0.5分）。园长管理能力符合《幼儿园园长专业标准》</w:t>
            </w:r>
            <w:r>
              <w:rPr>
                <w:rFonts w:hint="eastAsia" w:ascii="仿宋_GB2312" w:hAnsi="仿宋_GB2312" w:eastAsia="仿宋_GB2312" w:cs="仿宋_GB2312"/>
                <w:b w:val="0"/>
                <w:bCs w:val="0"/>
                <w:kern w:val="0"/>
                <w:sz w:val="21"/>
                <w:szCs w:val="21"/>
                <w:lang w:eastAsia="zh-CN"/>
              </w:rPr>
              <w:t>,</w:t>
            </w:r>
            <w:r>
              <w:rPr>
                <w:rFonts w:hint="eastAsia" w:ascii="仿宋_GB2312" w:hAnsi="仿宋_GB2312" w:eastAsia="仿宋_GB2312" w:cs="仿宋_GB2312"/>
                <w:b w:val="0"/>
                <w:bCs w:val="0"/>
                <w:kern w:val="0"/>
                <w:sz w:val="21"/>
                <w:szCs w:val="21"/>
                <w:lang w:val="en-US" w:eastAsia="zh-CN"/>
              </w:rPr>
              <w:t>重视在教师专业发展中的引领作用，积极创设条件，激励教师的专业成长（0.5分）。教师专业能力符合《幼儿园教师专业标准》</w:t>
            </w:r>
            <w:r>
              <w:rPr>
                <w:rFonts w:hint="eastAsia" w:ascii="仿宋_GB2312" w:hAnsi="仿宋_GB2312" w:eastAsia="仿宋_GB2312" w:cs="仿宋_GB2312"/>
                <w:b w:val="0"/>
                <w:bCs w:val="0"/>
                <w:kern w:val="0"/>
                <w:sz w:val="21"/>
                <w:szCs w:val="21"/>
                <w:lang w:eastAsia="zh-CN"/>
              </w:rPr>
              <w:t>,</w:t>
            </w:r>
            <w:r>
              <w:rPr>
                <w:rFonts w:hint="eastAsia" w:ascii="仿宋_GB2312" w:hAnsi="仿宋_GB2312" w:eastAsia="仿宋_GB2312" w:cs="仿宋_GB2312"/>
                <w:b w:val="0"/>
                <w:bCs w:val="0"/>
                <w:kern w:val="0"/>
                <w:sz w:val="21"/>
                <w:szCs w:val="21"/>
                <w:lang w:val="en-US" w:eastAsia="zh-CN"/>
              </w:rPr>
              <w:t>尊重幼儿权益，以幼儿为主体，充分调动和发挥幼儿的主动性（0.5分）</w:t>
            </w:r>
            <w:r>
              <w:rPr>
                <w:rFonts w:hint="eastAsia" w:ascii="仿宋_GB2312" w:hAnsi="仿宋_GB2312" w:cs="仿宋_GB2312"/>
                <w:b w:val="0"/>
                <w:bCs w:val="0"/>
                <w:kern w:val="0"/>
                <w:sz w:val="21"/>
                <w:szCs w:val="21"/>
                <w:lang w:val="en-US" w:eastAsia="zh-CN"/>
              </w:rPr>
              <w:t>。</w:t>
            </w:r>
            <w:r>
              <w:rPr>
                <w:rFonts w:hint="eastAsia" w:ascii="仿宋_GB2312" w:hAnsi="仿宋_GB2312" w:eastAsia="仿宋_GB2312" w:cs="仿宋_GB2312"/>
                <w:b w:val="0"/>
                <w:bCs w:val="0"/>
                <w:kern w:val="0"/>
                <w:sz w:val="21"/>
                <w:szCs w:val="21"/>
                <w:lang w:val="en-US" w:eastAsia="zh-CN"/>
              </w:rPr>
              <w:t>遵循幼儿身心发展特点和保教活动规律，提供适合的教育，保障幼儿快乐健康成长（0.5分）。</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访谈了解</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sz w:val="21"/>
                <w:szCs w:val="21"/>
              </w:rPr>
            </w:pPr>
          </w:p>
        </w:tc>
      </w:tr>
      <w:tr>
        <w:trPr>
          <w:trHeight w:val="564" w:hRule="atLeast"/>
        </w:trPr>
        <w:tc>
          <w:tcPr>
            <w:tcW w:w="958"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6</w:t>
            </w:r>
            <w:r>
              <w:rPr>
                <w:rFonts w:hint="eastAsia" w:ascii="仿宋_GB2312" w:hAnsi="仿宋_GB2312" w:cs="仿宋_GB2312"/>
                <w:b w:val="0"/>
                <w:bCs w:val="0"/>
                <w:kern w:val="0"/>
                <w:sz w:val="21"/>
                <w:szCs w:val="21"/>
                <w:lang w:val="en-US" w:eastAsia="zh-CN"/>
              </w:rPr>
              <w:t>2</w:t>
            </w:r>
            <w:r>
              <w:rPr>
                <w:rFonts w:hint="eastAsia" w:ascii="仿宋_GB2312" w:hAnsi="仿宋_GB2312" w:eastAsia="仿宋_GB2312" w:cs="仿宋_GB2312"/>
                <w:b w:val="0"/>
                <w:bCs w:val="0"/>
                <w:kern w:val="0"/>
                <w:sz w:val="21"/>
                <w:szCs w:val="21"/>
                <w:lang w:val="en-US" w:eastAsia="zh-CN"/>
              </w:rPr>
              <w:t>.幼儿园教职工患传染病期间暂停在幼儿园的工作。有犯罪、吸毒记录和精神病史者不得在幼儿园工作。</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sz w:val="21"/>
                <w:szCs w:val="21"/>
              </w:rPr>
            </w:pPr>
          </w:p>
        </w:tc>
      </w:tr>
      <w:tr>
        <w:trPr>
          <w:trHeight w:val="214" w:hRule="atLeast"/>
        </w:trPr>
        <w:tc>
          <w:tcPr>
            <w:tcW w:w="958"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4.3</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能力</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提升</w:t>
            </w:r>
          </w:p>
          <w:p>
            <w:pPr>
              <w:spacing w:line="240" w:lineRule="auto"/>
              <w:jc w:val="center"/>
              <w:rPr>
                <w:rFonts w:hint="eastAsia" w:ascii="仿宋_GB2312" w:hAnsi="仿宋_GB2312" w:eastAsia="仿宋_GB2312" w:cs="仿宋_GB2312"/>
                <w:b w:val="0"/>
                <w:bCs w:val="0"/>
                <w:kern w:val="0"/>
                <w:sz w:val="21"/>
                <w:szCs w:val="21"/>
                <w:lang w:val="en-US" w:eastAsia="zh-CN"/>
              </w:rPr>
            </w:pPr>
          </w:p>
          <w:p>
            <w:pPr>
              <w:spacing w:line="240" w:lineRule="auto"/>
              <w:jc w:val="center"/>
              <w:rPr>
                <w:rFonts w:hint="eastAsia" w:ascii="仿宋_GB2312" w:hAnsi="仿宋_GB2312" w:eastAsia="仿宋_GB2312" w:cs="仿宋_GB2312"/>
                <w:b w:val="0"/>
                <w:bCs w:val="0"/>
                <w:kern w:val="0"/>
                <w:sz w:val="21"/>
                <w:szCs w:val="21"/>
                <w:lang w:val="en-US" w:eastAsia="zh-CN"/>
              </w:rPr>
            </w:pP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6</w:t>
            </w:r>
            <w:r>
              <w:rPr>
                <w:rFonts w:hint="eastAsia" w:ascii="仿宋_GB2312" w:hAnsi="仿宋_GB2312" w:cs="仿宋_GB2312"/>
                <w:b w:val="0"/>
                <w:bCs w:val="0"/>
                <w:kern w:val="0"/>
                <w:sz w:val="21"/>
                <w:szCs w:val="21"/>
                <w:lang w:val="en-US" w:eastAsia="zh-CN"/>
              </w:rPr>
              <w:t>3</w:t>
            </w:r>
            <w:r>
              <w:rPr>
                <w:rFonts w:hint="eastAsia" w:ascii="仿宋_GB2312" w:hAnsi="仿宋_GB2312" w:eastAsia="仿宋_GB2312" w:cs="仿宋_GB2312"/>
                <w:b w:val="0"/>
                <w:bCs w:val="0"/>
                <w:kern w:val="0"/>
                <w:sz w:val="21"/>
                <w:szCs w:val="21"/>
                <w:lang w:val="en-US" w:eastAsia="zh-CN"/>
              </w:rPr>
              <w:t>.重视教科研工作。正、副园长中有专人负责教科研工作，教科研组织健全,建立业务学习制度、园本教研制度、教科研成果奖励制度等，园长定期参与教科研活动。</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287" w:hRule="atLeast"/>
        </w:trPr>
        <w:tc>
          <w:tcPr>
            <w:tcW w:w="958" w:type="dxa"/>
            <w:vMerge w:val="continue"/>
            <w:tcBorders>
              <w:left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6</w:t>
            </w:r>
            <w:r>
              <w:rPr>
                <w:rFonts w:hint="eastAsia" w:ascii="仿宋_GB2312" w:hAnsi="仿宋_GB2312" w:cs="仿宋_GB2312"/>
                <w:b w:val="0"/>
                <w:bCs w:val="0"/>
                <w:kern w:val="0"/>
                <w:sz w:val="21"/>
                <w:szCs w:val="21"/>
                <w:lang w:val="en-US" w:eastAsia="zh-CN"/>
              </w:rPr>
              <w:t>4</w:t>
            </w:r>
            <w:r>
              <w:rPr>
                <w:rFonts w:hint="eastAsia" w:ascii="仿宋_GB2312" w:hAnsi="仿宋_GB2312" w:eastAsia="仿宋_GB2312" w:cs="仿宋_GB2312"/>
                <w:b w:val="0"/>
                <w:bCs w:val="0"/>
                <w:kern w:val="0"/>
                <w:sz w:val="21"/>
                <w:szCs w:val="21"/>
                <w:lang w:val="en-US" w:eastAsia="zh-CN"/>
              </w:rPr>
              <w:t>.制定有前瞻性的教师专业发展规划，建立健全教师专业发展激励和评价制度，构建教研训一体机制</w:t>
            </w:r>
            <w:r>
              <w:rPr>
                <w:rFonts w:hint="eastAsia" w:ascii="仿宋_GB2312" w:hAnsi="仿宋_GB2312" w:cs="仿宋_GB2312"/>
                <w:b w:val="0"/>
                <w:bCs w:val="0"/>
                <w:kern w:val="0"/>
                <w:sz w:val="21"/>
                <w:szCs w:val="21"/>
                <w:lang w:val="en-US" w:eastAsia="zh-CN"/>
              </w:rPr>
              <w:t>，</w:t>
            </w:r>
            <w:r>
              <w:rPr>
                <w:rFonts w:hint="eastAsia" w:ascii="仿宋_GB2312" w:hAnsi="仿宋_GB2312" w:eastAsia="仿宋_GB2312" w:cs="仿宋_GB2312"/>
                <w:b w:val="0"/>
                <w:bCs w:val="0"/>
                <w:kern w:val="0"/>
                <w:sz w:val="21"/>
                <w:szCs w:val="21"/>
                <w:lang w:val="en-US" w:eastAsia="zh-CN"/>
              </w:rPr>
              <w:t>重视教师职称评定工作。</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412" w:hRule="atLeast"/>
        </w:trPr>
        <w:tc>
          <w:tcPr>
            <w:tcW w:w="958" w:type="dxa"/>
            <w:vMerge w:val="continue"/>
            <w:tcBorders>
              <w:left w:val="single" w:color="000000" w:sz="4" w:space="0"/>
              <w:right w:val="single" w:color="000000" w:sz="4" w:space="0"/>
            </w:tcBorders>
            <w:vAlign w:val="top"/>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6</w:t>
            </w:r>
            <w:r>
              <w:rPr>
                <w:rFonts w:hint="eastAsia" w:ascii="仿宋_GB2312" w:hAnsi="仿宋_GB2312" w:cs="仿宋_GB2312"/>
                <w:b w:val="0"/>
                <w:bCs w:val="0"/>
                <w:kern w:val="0"/>
                <w:sz w:val="21"/>
                <w:szCs w:val="21"/>
                <w:lang w:val="en-US" w:eastAsia="zh-CN"/>
              </w:rPr>
              <w:t>5</w:t>
            </w:r>
            <w:r>
              <w:rPr>
                <w:rFonts w:hint="eastAsia" w:ascii="仿宋_GB2312" w:hAnsi="仿宋_GB2312" w:eastAsia="仿宋_GB2312" w:cs="仿宋_GB2312"/>
                <w:b w:val="0"/>
                <w:bCs w:val="0"/>
                <w:kern w:val="0"/>
                <w:sz w:val="21"/>
                <w:szCs w:val="21"/>
                <w:lang w:val="en-US" w:eastAsia="zh-CN"/>
              </w:rPr>
              <w:t>.重视教职工的可持续发展，开展切合实际的分层、分岗教职工培训工作，有计划和实施方案，经费落实，时间落实（每位教师五年一周期不少于360个培训学时），有专人负责，措施得力，效果明显。</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274" w:hRule="atLeast"/>
        </w:trPr>
        <w:tc>
          <w:tcPr>
            <w:tcW w:w="958" w:type="dxa"/>
            <w:vMerge w:val="continue"/>
            <w:tcBorders>
              <w:left w:val="single" w:color="000000" w:sz="4" w:space="0"/>
              <w:right w:val="single" w:color="000000" w:sz="4" w:space="0"/>
            </w:tcBorders>
            <w:vAlign w:val="top"/>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6</w:t>
            </w:r>
            <w:r>
              <w:rPr>
                <w:rFonts w:hint="eastAsia" w:ascii="仿宋_GB2312" w:hAnsi="仿宋_GB2312" w:cs="仿宋_GB2312"/>
                <w:b w:val="0"/>
                <w:bCs w:val="0"/>
                <w:kern w:val="0"/>
                <w:sz w:val="21"/>
                <w:szCs w:val="21"/>
                <w:lang w:val="en-US" w:eastAsia="zh-CN"/>
              </w:rPr>
              <w:t>6</w:t>
            </w:r>
            <w:r>
              <w:rPr>
                <w:rFonts w:hint="eastAsia" w:ascii="仿宋_GB2312" w:hAnsi="仿宋_GB2312" w:eastAsia="仿宋_GB2312" w:cs="仿宋_GB2312"/>
                <w:b w:val="0"/>
                <w:bCs w:val="0"/>
                <w:kern w:val="0"/>
                <w:sz w:val="21"/>
                <w:szCs w:val="21"/>
                <w:lang w:val="en-US" w:eastAsia="zh-CN"/>
              </w:rPr>
              <w:t>.重视教职工继续教育，加强教师职后学习，逐步提升教师学历层次和专业化水平，加强对骨干教师和青年教师的培养，有计划，有措施，有检查、有考核，有一定比例骨干教师。</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r>
    </w:tbl>
    <w:p>
      <w:pPr>
        <w:autoSpaceDN w:val="0"/>
        <w:jc w:val="both"/>
        <w:rPr>
          <w:rFonts w:hint="eastAsia" w:ascii="仿宋_GB2312" w:hAnsi="仿宋_GB2312" w:eastAsia="仿宋_GB2312" w:cs="仿宋_GB2312"/>
          <w:color w:val="000000"/>
          <w:kern w:val="0"/>
          <w:sz w:val="21"/>
          <w:szCs w:val="21"/>
          <w:lang w:eastAsia="zh-CN"/>
        </w:rPr>
      </w:pPr>
    </w:p>
    <w:tbl>
      <w:tblPr>
        <w:tblW w:w="14011"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28" w:type="dxa"/>
          <w:left w:w="57" w:type="dxa"/>
          <w:bottom w:w="28" w:type="dxa"/>
          <w:right w:w="57" w:type="dxa"/>
        </w:tblCellMar>
      </w:tblPr>
      <w:tblGrid>
        <w:gridCol w:w="958"/>
        <w:gridCol w:w="900"/>
        <w:gridCol w:w="8690"/>
        <w:gridCol w:w="734"/>
        <w:gridCol w:w="1086"/>
        <w:gridCol w:w="911"/>
        <w:gridCol w:w="732"/>
      </w:tblGrid>
      <w:tr>
        <w:trPr>
          <w:trHeight w:val="52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lang w:eastAsia="zh-CN"/>
              </w:rPr>
              <w:t>一</w:t>
            </w:r>
            <w:r>
              <w:rPr>
                <w:rFonts w:hint="eastAsia" w:ascii="仿宋_GB2312" w:hAnsi="仿宋_GB2312" w:eastAsia="仿宋_GB2312" w:cs="仿宋_GB2312"/>
                <w:b w:val="0"/>
                <w:bCs w:val="0"/>
                <w:sz w:val="21"/>
                <w:szCs w:val="21"/>
              </w:rPr>
              <w:t>级指标</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eastAsia="zh-CN"/>
              </w:rPr>
              <w:t>二</w:t>
            </w:r>
            <w:r>
              <w:rPr>
                <w:rFonts w:hint="eastAsia" w:ascii="仿宋_GB2312" w:hAnsi="仿宋_GB2312" w:eastAsia="仿宋_GB2312" w:cs="仿宋_GB2312"/>
                <w:b w:val="0"/>
                <w:bCs w:val="0"/>
                <w:sz w:val="21"/>
                <w:szCs w:val="21"/>
              </w:rPr>
              <w:t>级</w:t>
            </w:r>
          </w:p>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rPr>
              <w:t>指标</w:t>
            </w:r>
          </w:p>
        </w:tc>
        <w:tc>
          <w:tcPr>
            <w:tcW w:w="8690"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both"/>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val="en-US" w:eastAsia="zh-CN"/>
              </w:rPr>
              <w:t xml:space="preserve"> </w:t>
            </w:r>
            <w:r>
              <w:rPr>
                <w:rFonts w:hint="eastAsia" w:ascii="仿宋_GB2312" w:hAnsi="仿宋_GB2312" w:eastAsia="仿宋_GB2312" w:cs="仿宋_GB2312"/>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备注</w:t>
            </w:r>
          </w:p>
        </w:tc>
      </w:tr>
      <w:tr>
        <w:trPr>
          <w:trHeight w:val="525" w:hRule="atLeast"/>
        </w:trPr>
        <w:tc>
          <w:tcPr>
            <w:tcW w:w="958"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五、保育</w:t>
            </w:r>
          </w:p>
          <w:p>
            <w:pPr>
              <w:spacing w:line="240" w:lineRule="auto"/>
              <w:jc w:val="center"/>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val="en-US" w:eastAsia="zh-CN"/>
              </w:rPr>
              <w:t>保健</w:t>
            </w:r>
            <w:r>
              <w:rPr>
                <w:rFonts w:hint="eastAsia" w:ascii="仿宋_GB2312" w:hAnsi="仿宋_GB2312" w:eastAsia="仿宋_GB2312" w:cs="仿宋_GB2312"/>
                <w:b w:val="0"/>
                <w:bCs w:val="0"/>
                <w:kern w:val="0"/>
                <w:sz w:val="21"/>
                <w:szCs w:val="21"/>
                <w:lang w:eastAsia="zh-CN"/>
              </w:rPr>
              <w:t>（</w:t>
            </w:r>
            <w:r>
              <w:rPr>
                <w:rFonts w:hint="eastAsia" w:ascii="仿宋_GB2312" w:hAnsi="仿宋_GB2312" w:cs="仿宋_GB2312"/>
                <w:b w:val="0"/>
                <w:bCs w:val="0"/>
                <w:kern w:val="0"/>
                <w:sz w:val="21"/>
                <w:szCs w:val="21"/>
                <w:lang w:val="en-US" w:eastAsia="zh-CN"/>
              </w:rPr>
              <w:t>15</w:t>
            </w:r>
            <w:r>
              <w:rPr>
                <w:rFonts w:hint="eastAsia" w:ascii="仿宋_GB2312" w:hAnsi="仿宋_GB2312" w:eastAsia="仿宋_GB2312" w:cs="仿宋_GB2312"/>
                <w:b w:val="0"/>
                <w:bCs w:val="0"/>
                <w:kern w:val="0"/>
                <w:sz w:val="21"/>
                <w:szCs w:val="21"/>
                <w:lang w:val="en-US" w:eastAsia="zh-CN"/>
              </w:rPr>
              <w:t>分</w:t>
            </w:r>
            <w:r>
              <w:rPr>
                <w:rFonts w:hint="eastAsia" w:ascii="仿宋_GB2312" w:hAnsi="仿宋_GB2312" w:eastAsia="仿宋_GB2312" w:cs="仿宋_GB2312"/>
                <w:b w:val="0"/>
                <w:bCs w:val="0"/>
                <w:kern w:val="0"/>
                <w:sz w:val="21"/>
                <w:szCs w:val="21"/>
                <w:lang w:eastAsia="zh-CN"/>
              </w:rPr>
              <w:t>）</w:t>
            </w:r>
          </w:p>
        </w:tc>
        <w:tc>
          <w:tcPr>
            <w:tcW w:w="900"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5.1</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保健</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管理</w:t>
            </w:r>
          </w:p>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67</w:t>
            </w:r>
            <w:r>
              <w:rPr>
                <w:rFonts w:hint="eastAsia" w:ascii="仿宋_GB2312" w:hAnsi="仿宋_GB2312" w:eastAsia="仿宋_GB2312" w:cs="仿宋_GB2312"/>
                <w:b w:val="0"/>
                <w:bCs w:val="0"/>
                <w:kern w:val="0"/>
                <w:sz w:val="21"/>
                <w:szCs w:val="21"/>
                <w:lang w:val="en-US" w:eastAsia="zh-CN"/>
              </w:rPr>
              <w:t>.幼儿园重视卫生保健管理工作，成立卫生保健管理组织，卫生保健制度健全，建立健全各项卫生保健制度和预防接种证查验制度，且制度上墙。分工明确，责任到人。</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sz w:val="21"/>
                <w:szCs w:val="21"/>
              </w:rPr>
            </w:pPr>
          </w:p>
        </w:tc>
      </w:tr>
      <w:tr>
        <w:trPr>
          <w:trHeight w:val="90" w:hRule="atLeast"/>
        </w:trPr>
        <w:tc>
          <w:tcPr>
            <w:tcW w:w="958" w:type="dxa"/>
            <w:vMerge w:val="continue"/>
            <w:tcBorders>
              <w:left w:val="single" w:color="000000" w:sz="4" w:space="0"/>
              <w:right w:val="single" w:color="000000" w:sz="4" w:space="0"/>
            </w:tcBorders>
            <w:vAlign w:val="center"/>
          </w:tcPr>
          <w:p>
            <w:pPr>
              <w:numPr>
                <w:numId w:val="0"/>
              </w:numPr>
              <w:spacing w:line="240" w:lineRule="auto"/>
              <w:ind w:leftChars="0"/>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68</w:t>
            </w:r>
            <w:r>
              <w:rPr>
                <w:rFonts w:hint="eastAsia" w:ascii="仿宋_GB2312" w:hAnsi="仿宋_GB2312" w:eastAsia="仿宋_GB2312" w:cs="仿宋_GB2312"/>
                <w:b w:val="0"/>
                <w:bCs w:val="0"/>
                <w:kern w:val="0"/>
                <w:sz w:val="21"/>
                <w:szCs w:val="21"/>
                <w:lang w:val="en-US" w:eastAsia="zh-CN"/>
              </w:rPr>
              <w:t>.幼儿园应当严格执行《托儿所幼儿园卫生保健管理办法》以及其他有关卫生保健的法规、规章和制度，每学期制定卫生保健工作计划，有落实，有总结。</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434" w:hRule="atLeast"/>
        </w:trPr>
        <w:tc>
          <w:tcPr>
            <w:tcW w:w="958"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5.2</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健康</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检查</w:t>
            </w: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69</w:t>
            </w:r>
            <w:r>
              <w:rPr>
                <w:rFonts w:hint="eastAsia" w:ascii="仿宋_GB2312" w:hAnsi="仿宋_GB2312" w:eastAsia="仿宋_GB2312" w:cs="仿宋_GB2312"/>
                <w:b w:val="0"/>
                <w:bCs w:val="0"/>
                <w:kern w:val="0"/>
                <w:sz w:val="21"/>
                <w:szCs w:val="21"/>
                <w:lang w:val="en-US" w:eastAsia="zh-CN"/>
              </w:rPr>
              <w:t>.教职工上岗前进行健康检查，取得健康证方可上岗，全园教职工每年体检一次。</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287" w:hRule="atLeast"/>
        </w:trPr>
        <w:tc>
          <w:tcPr>
            <w:tcW w:w="958" w:type="dxa"/>
            <w:vMerge w:val="continue"/>
            <w:tcBorders>
              <w:left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70.</w:t>
            </w:r>
            <w:r>
              <w:rPr>
                <w:rFonts w:hint="eastAsia" w:ascii="仿宋_GB2312" w:hAnsi="仿宋_GB2312" w:eastAsia="仿宋_GB2312" w:cs="仿宋_GB2312"/>
                <w:b w:val="0"/>
                <w:bCs w:val="0"/>
                <w:kern w:val="0"/>
                <w:sz w:val="21"/>
                <w:szCs w:val="21"/>
                <w:lang w:val="en-US" w:eastAsia="zh-CN"/>
              </w:rPr>
              <w:t>幼儿入园前,应当按照卫生部门制定的卫生保健制度进行健康检查,合格者方可入园</w:t>
            </w:r>
            <w:r>
              <w:rPr>
                <w:rFonts w:hint="eastAsia" w:ascii="仿宋_GB2312" w:hAnsi="仿宋_GB2312" w:cs="仿宋_GB2312"/>
                <w:b w:val="0"/>
                <w:bCs w:val="0"/>
                <w:kern w:val="0"/>
                <w:sz w:val="21"/>
                <w:szCs w:val="21"/>
                <w:lang w:val="en-US" w:eastAsia="zh-CN"/>
              </w:rPr>
              <w:t>；</w:t>
            </w:r>
            <w:r>
              <w:rPr>
                <w:rFonts w:hint="eastAsia" w:ascii="仿宋_GB2312" w:hAnsi="仿宋_GB2312" w:eastAsia="仿宋_GB2312" w:cs="仿宋_GB2312"/>
                <w:b w:val="0"/>
                <w:bCs w:val="0"/>
                <w:kern w:val="0"/>
                <w:sz w:val="21"/>
                <w:szCs w:val="21"/>
                <w:lang w:val="en-US" w:eastAsia="zh-CN"/>
              </w:rPr>
              <w:t>新生入园体检率、建档率达100%。</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287" w:hRule="atLeast"/>
        </w:trPr>
        <w:tc>
          <w:tcPr>
            <w:tcW w:w="958" w:type="dxa"/>
            <w:vMerge w:val="continue"/>
            <w:tcBorders>
              <w:left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71</w:t>
            </w:r>
            <w:r>
              <w:rPr>
                <w:rFonts w:hint="eastAsia" w:ascii="仿宋_GB2312" w:hAnsi="仿宋_GB2312" w:eastAsia="仿宋_GB2312" w:cs="仿宋_GB2312"/>
                <w:b w:val="0"/>
                <w:bCs w:val="0"/>
                <w:kern w:val="0"/>
                <w:sz w:val="21"/>
                <w:szCs w:val="21"/>
                <w:lang w:val="en-US" w:eastAsia="zh-CN"/>
              </w:rPr>
              <w:t>.幼儿园应当建立幼儿健康检查制度和幼儿健康卡或档案。每年体检一次,每半年测身高、视力一次,每季度量体重一次</w:t>
            </w:r>
            <w:r>
              <w:rPr>
                <w:rFonts w:hint="eastAsia" w:ascii="仿宋_GB2312" w:hAnsi="仿宋_GB2312" w:cs="仿宋_GB2312"/>
                <w:b w:val="0"/>
                <w:bCs w:val="0"/>
                <w:kern w:val="0"/>
                <w:sz w:val="21"/>
                <w:szCs w:val="21"/>
                <w:lang w:val="en-US" w:eastAsia="zh-CN"/>
              </w:rPr>
              <w:t>，</w:t>
            </w:r>
            <w:r>
              <w:rPr>
                <w:rFonts w:hint="eastAsia" w:ascii="仿宋_GB2312" w:hAnsi="仿宋_GB2312" w:eastAsia="仿宋_GB2312" w:cs="仿宋_GB2312"/>
                <w:b w:val="0"/>
                <w:bCs w:val="0"/>
                <w:kern w:val="0"/>
                <w:sz w:val="21"/>
                <w:szCs w:val="21"/>
                <w:lang w:val="en-US" w:eastAsia="zh-CN"/>
              </w:rPr>
              <w:t>注意幼儿口腔卫生,保护幼儿视力。对各种体检资料进行评价分析和总结</w:t>
            </w:r>
            <w:r>
              <w:rPr>
                <w:rFonts w:hint="eastAsia" w:ascii="仿宋_GB2312" w:hAnsi="仿宋_GB2312" w:cs="仿宋_GB2312"/>
                <w:b w:val="0"/>
                <w:bCs w:val="0"/>
                <w:kern w:val="0"/>
                <w:sz w:val="21"/>
                <w:szCs w:val="21"/>
                <w:lang w:val="en-US" w:eastAsia="zh-CN"/>
              </w:rPr>
              <w:t>，</w:t>
            </w:r>
            <w:r>
              <w:rPr>
                <w:rFonts w:hint="eastAsia" w:ascii="仿宋_GB2312" w:hAnsi="仿宋_GB2312" w:eastAsia="仿宋_GB2312" w:cs="仿宋_GB2312"/>
                <w:b w:val="0"/>
                <w:bCs w:val="0"/>
                <w:kern w:val="0"/>
                <w:sz w:val="21"/>
                <w:szCs w:val="21"/>
                <w:lang w:val="en-US" w:eastAsia="zh-CN"/>
              </w:rPr>
              <w:t>体检结果及时反馈给家长。</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287" w:hRule="atLeast"/>
        </w:trPr>
        <w:tc>
          <w:tcPr>
            <w:tcW w:w="958" w:type="dxa"/>
            <w:vMerge w:val="continue"/>
            <w:tcBorders>
              <w:left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p>
        </w:tc>
        <w:tc>
          <w:tcPr>
            <w:tcW w:w="900"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5.3</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疾病</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预防</w:t>
            </w: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7</w:t>
            </w:r>
            <w:r>
              <w:rPr>
                <w:rFonts w:hint="eastAsia" w:ascii="仿宋_GB2312" w:hAnsi="仿宋_GB2312" w:cs="仿宋_GB2312"/>
                <w:b w:val="0"/>
                <w:bCs w:val="0"/>
                <w:kern w:val="0"/>
                <w:sz w:val="21"/>
                <w:szCs w:val="21"/>
                <w:lang w:val="en-US" w:eastAsia="zh-CN"/>
              </w:rPr>
              <w:t>2</w:t>
            </w:r>
            <w:r>
              <w:rPr>
                <w:rFonts w:hint="eastAsia" w:ascii="仿宋_GB2312" w:hAnsi="仿宋_GB2312" w:eastAsia="仿宋_GB2312" w:cs="仿宋_GB2312"/>
                <w:b w:val="0"/>
                <w:bCs w:val="0"/>
                <w:kern w:val="0"/>
                <w:sz w:val="21"/>
                <w:szCs w:val="21"/>
                <w:lang w:val="en-US" w:eastAsia="zh-CN"/>
              </w:rPr>
              <w:t>.坚持晨、午检，做好常见病预防</w:t>
            </w:r>
            <w:r>
              <w:rPr>
                <w:rFonts w:hint="eastAsia" w:ascii="仿宋_GB2312" w:hAnsi="仿宋_GB2312" w:eastAsia="仿宋_GB2312" w:cs="仿宋_GB2312"/>
                <w:b w:val="0"/>
                <w:bCs w:val="0"/>
                <w:kern w:val="0"/>
                <w:sz w:val="21"/>
                <w:szCs w:val="21"/>
                <w:lang w:eastAsia="zh-CN"/>
              </w:rPr>
              <w:t>。</w:t>
            </w:r>
            <w:r>
              <w:rPr>
                <w:rFonts w:hint="eastAsia" w:ascii="仿宋_GB2312" w:hAnsi="仿宋_GB2312" w:eastAsia="仿宋_GB2312" w:cs="仿宋_GB2312"/>
                <w:b w:val="0"/>
                <w:bCs w:val="0"/>
                <w:kern w:val="0"/>
                <w:sz w:val="21"/>
                <w:szCs w:val="21"/>
                <w:lang w:val="en-US" w:eastAsia="zh-CN"/>
              </w:rPr>
              <w:t>保健医重视全日健康观察，加强班级巡视，发现问题及时处理。</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412" w:hRule="atLeast"/>
        </w:trPr>
        <w:tc>
          <w:tcPr>
            <w:tcW w:w="958" w:type="dxa"/>
            <w:vMerge w:val="continue"/>
            <w:tcBorders>
              <w:left w:val="single" w:color="000000" w:sz="4" w:space="0"/>
              <w:right w:val="single" w:color="000000" w:sz="4" w:space="0"/>
            </w:tcBorders>
            <w:vAlign w:val="top"/>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top"/>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7</w:t>
            </w:r>
            <w:r>
              <w:rPr>
                <w:rFonts w:hint="eastAsia" w:ascii="仿宋_GB2312" w:hAnsi="仿宋_GB2312" w:cs="仿宋_GB2312"/>
                <w:b w:val="0"/>
                <w:bCs w:val="0"/>
                <w:kern w:val="0"/>
                <w:sz w:val="21"/>
                <w:szCs w:val="21"/>
                <w:lang w:val="en-US" w:eastAsia="zh-CN"/>
              </w:rPr>
              <w:t>3</w:t>
            </w:r>
            <w:r>
              <w:rPr>
                <w:rFonts w:hint="eastAsia" w:ascii="仿宋_GB2312" w:hAnsi="仿宋_GB2312" w:eastAsia="仿宋_GB2312" w:cs="仿宋_GB2312"/>
                <w:b w:val="0"/>
                <w:bCs w:val="0"/>
                <w:kern w:val="0"/>
                <w:sz w:val="21"/>
                <w:szCs w:val="21"/>
                <w:lang w:val="en-US" w:eastAsia="zh-CN"/>
              </w:rPr>
              <w:t>.开展入托预防接种证查验工作，查验率达100%；做好免疫接种情况统计，配合卫生防疫站督促未完成接种疫苗的幼儿及时补种。</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both"/>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 xml:space="preserve"> 查阅资料</w:t>
            </w:r>
          </w:p>
        </w:tc>
        <w:tc>
          <w:tcPr>
            <w:tcW w:w="911"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234" w:hRule="atLeast"/>
        </w:trPr>
        <w:tc>
          <w:tcPr>
            <w:tcW w:w="958" w:type="dxa"/>
            <w:vMerge w:val="continue"/>
            <w:tcBorders>
              <w:left w:val="single" w:color="000000" w:sz="4" w:space="0"/>
              <w:right w:val="single" w:color="000000" w:sz="4" w:space="0"/>
            </w:tcBorders>
            <w:vAlign w:val="top"/>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top"/>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7</w:t>
            </w:r>
            <w:r>
              <w:rPr>
                <w:rFonts w:hint="eastAsia" w:ascii="仿宋_GB2312" w:hAnsi="仿宋_GB2312" w:cs="仿宋_GB2312"/>
                <w:b w:val="0"/>
                <w:bCs w:val="0"/>
                <w:kern w:val="0"/>
                <w:sz w:val="21"/>
                <w:szCs w:val="21"/>
                <w:lang w:val="en-US" w:eastAsia="zh-CN"/>
              </w:rPr>
              <w:t>4</w:t>
            </w:r>
            <w:r>
              <w:rPr>
                <w:rFonts w:hint="eastAsia" w:ascii="仿宋_GB2312" w:hAnsi="仿宋_GB2312" w:eastAsia="仿宋_GB2312" w:cs="仿宋_GB2312"/>
                <w:b w:val="0"/>
                <w:bCs w:val="0"/>
                <w:kern w:val="0"/>
                <w:sz w:val="21"/>
                <w:szCs w:val="21"/>
                <w:lang w:val="en-US" w:eastAsia="zh-CN"/>
              </w:rPr>
              <w:t>.制定突发传染病应急预案，防止传染病流行蔓延。认真排查幼儿因病缺勤情况，预防传染病做到早发现、早隔离、早诊断、早治疗。</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both"/>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433" w:hRule="atLeast"/>
        </w:trPr>
        <w:tc>
          <w:tcPr>
            <w:tcW w:w="958" w:type="dxa"/>
            <w:vMerge w:val="continue"/>
            <w:tcBorders>
              <w:left w:val="single" w:color="000000" w:sz="4" w:space="0"/>
              <w:right w:val="single" w:color="000000" w:sz="4" w:space="0"/>
            </w:tcBorders>
            <w:vAlign w:val="top"/>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7</w:t>
            </w:r>
            <w:r>
              <w:rPr>
                <w:rFonts w:hint="eastAsia" w:ascii="仿宋_GB2312" w:hAnsi="仿宋_GB2312" w:cs="仿宋_GB2312"/>
                <w:b w:val="0"/>
                <w:bCs w:val="0"/>
                <w:kern w:val="0"/>
                <w:sz w:val="21"/>
                <w:szCs w:val="21"/>
                <w:lang w:val="en-US" w:eastAsia="zh-CN"/>
              </w:rPr>
              <w:t>5</w:t>
            </w:r>
            <w:r>
              <w:rPr>
                <w:rFonts w:hint="eastAsia" w:ascii="仿宋_GB2312" w:hAnsi="仿宋_GB2312" w:eastAsia="仿宋_GB2312" w:cs="仿宋_GB2312"/>
                <w:b w:val="0"/>
                <w:bCs w:val="0"/>
                <w:kern w:val="0"/>
                <w:sz w:val="21"/>
                <w:szCs w:val="21"/>
                <w:lang w:val="en-US" w:eastAsia="zh-CN"/>
              </w:rPr>
              <w:t>.消毒设施设备齐全，工作人员熟知各项消毒制度，能采用紫外线、84消毒液、暴晒、高温等方式进行消毒，流程规范，责任到人，记录完整。幼儿餐具、饮水器具应当专人专用,并进行定期消毒,防止交叉感染。</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查阅资料</w:t>
            </w: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370" w:hRule="atLeast"/>
        </w:trPr>
        <w:tc>
          <w:tcPr>
            <w:tcW w:w="958" w:type="dxa"/>
            <w:vMerge w:val="continue"/>
            <w:tcBorders>
              <w:left w:val="single" w:color="000000" w:sz="4" w:space="0"/>
              <w:right w:val="single" w:color="000000" w:sz="4" w:space="0"/>
            </w:tcBorders>
            <w:vAlign w:val="top"/>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top"/>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7</w:t>
            </w:r>
            <w:r>
              <w:rPr>
                <w:rFonts w:hint="eastAsia" w:ascii="仿宋_GB2312" w:hAnsi="仿宋_GB2312" w:cs="仿宋_GB2312"/>
                <w:b w:val="0"/>
                <w:bCs w:val="0"/>
                <w:kern w:val="0"/>
                <w:sz w:val="21"/>
                <w:szCs w:val="21"/>
                <w:lang w:val="en-US" w:eastAsia="zh-CN"/>
              </w:rPr>
              <w:t>6</w:t>
            </w:r>
            <w:r>
              <w:rPr>
                <w:rFonts w:hint="eastAsia" w:ascii="仿宋_GB2312" w:hAnsi="仿宋_GB2312" w:eastAsia="仿宋_GB2312" w:cs="仿宋_GB2312"/>
                <w:b w:val="0"/>
                <w:bCs w:val="0"/>
                <w:kern w:val="0"/>
                <w:sz w:val="21"/>
                <w:szCs w:val="21"/>
                <w:lang w:val="en-US" w:eastAsia="zh-CN"/>
              </w:rPr>
              <w:t>.保障饮水安全卫生；提供幼儿随渴随喝、温度适宜的足量饮用水，保证幼儿每天饮水量；不得限制幼儿便溺的次数、时间等。</w:t>
            </w:r>
          </w:p>
        </w:tc>
        <w:tc>
          <w:tcPr>
            <w:tcW w:w="734" w:type="dxa"/>
            <w:tcBorders>
              <w:top w:val="single" w:color="000000" w:sz="4" w:space="0"/>
              <w:left w:val="single" w:color="000000" w:sz="4" w:space="0"/>
              <w:bottom w:val="single" w:color="000000" w:sz="4" w:space="0"/>
              <w:right w:val="single" w:color="000000" w:sz="4" w:space="0"/>
            </w:tcBorders>
            <w:vAlign w:val="top"/>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top"/>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查阅资料</w:t>
            </w:r>
            <w:r>
              <w:rPr>
                <w:rFonts w:hint="eastAsia" w:ascii="仿宋_GB2312" w:hAnsi="仿宋_GB2312" w:eastAsia="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675" w:hRule="atLeast"/>
        </w:trPr>
        <w:tc>
          <w:tcPr>
            <w:tcW w:w="958" w:type="dxa"/>
            <w:vMerge w:val="continue"/>
            <w:tcBorders>
              <w:left w:val="single" w:color="000000" w:sz="4" w:space="0"/>
              <w:right w:val="single" w:color="000000" w:sz="4" w:space="0"/>
            </w:tcBorders>
            <w:vAlign w:val="top"/>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top"/>
          </w:tcPr>
          <w:p>
            <w:pPr>
              <w:widowControl w:val="0"/>
              <w:wordWrap/>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7</w:t>
            </w:r>
            <w:r>
              <w:rPr>
                <w:rFonts w:hint="eastAsia" w:ascii="仿宋_GB2312" w:hAnsi="仿宋_GB2312" w:cs="仿宋_GB2312"/>
                <w:b w:val="0"/>
                <w:bCs w:val="0"/>
                <w:kern w:val="0"/>
                <w:sz w:val="21"/>
                <w:szCs w:val="21"/>
                <w:lang w:val="en-US" w:eastAsia="zh-CN"/>
              </w:rPr>
              <w:t>7</w:t>
            </w:r>
            <w:r>
              <w:rPr>
                <w:rFonts w:hint="eastAsia" w:ascii="仿宋_GB2312" w:hAnsi="仿宋_GB2312" w:eastAsia="仿宋_GB2312" w:cs="仿宋_GB2312"/>
                <w:b w:val="0"/>
                <w:bCs w:val="0"/>
                <w:kern w:val="0"/>
                <w:sz w:val="21"/>
                <w:szCs w:val="21"/>
                <w:lang w:val="en-US" w:eastAsia="zh-CN"/>
              </w:rPr>
              <w:t>.加强体育锻炼，提高幼儿免疫力。幼儿每日户外体育活动时间不少于1小时；开展体育活动时，应对体弱或有残疾的幼儿予以特殊照顾。</w:t>
            </w:r>
          </w:p>
        </w:tc>
        <w:tc>
          <w:tcPr>
            <w:tcW w:w="734" w:type="dxa"/>
            <w:tcBorders>
              <w:top w:val="single" w:color="000000" w:sz="4" w:space="0"/>
              <w:left w:val="single" w:color="000000" w:sz="4" w:space="0"/>
              <w:right w:val="single" w:color="000000" w:sz="4" w:space="0"/>
            </w:tcBorders>
            <w:vAlign w:val="top"/>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right w:val="single" w:color="000000" w:sz="4" w:space="0"/>
            </w:tcBorders>
            <w:vAlign w:val="top"/>
          </w:tcPr>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查阅资料</w:t>
            </w: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访谈了解</w:t>
            </w:r>
          </w:p>
        </w:tc>
        <w:tc>
          <w:tcPr>
            <w:tcW w:w="911" w:type="dxa"/>
            <w:tcBorders>
              <w:top w:val="single" w:color="000000" w:sz="4" w:space="0"/>
              <w:left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52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lang w:eastAsia="zh-CN"/>
              </w:rPr>
              <w:t>一</w:t>
            </w:r>
            <w:r>
              <w:rPr>
                <w:rFonts w:hint="eastAsia" w:ascii="仿宋_GB2312" w:hAnsi="仿宋_GB2312" w:eastAsia="仿宋_GB2312" w:cs="仿宋_GB2312"/>
                <w:b w:val="0"/>
                <w:bCs w:val="0"/>
                <w:sz w:val="21"/>
                <w:szCs w:val="21"/>
              </w:rPr>
              <w:t>级指标</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eastAsia="zh-CN"/>
              </w:rPr>
              <w:t>二</w:t>
            </w:r>
            <w:r>
              <w:rPr>
                <w:rFonts w:hint="eastAsia" w:ascii="仿宋_GB2312" w:hAnsi="仿宋_GB2312" w:eastAsia="仿宋_GB2312" w:cs="仿宋_GB2312"/>
                <w:b w:val="0"/>
                <w:bCs w:val="0"/>
                <w:sz w:val="21"/>
                <w:szCs w:val="21"/>
              </w:rPr>
              <w:t>级</w:t>
            </w:r>
          </w:p>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rPr>
              <w:t>指标</w:t>
            </w:r>
          </w:p>
        </w:tc>
        <w:tc>
          <w:tcPr>
            <w:tcW w:w="8690"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both"/>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val="en-US" w:eastAsia="zh-CN"/>
              </w:rPr>
              <w:t xml:space="preserve"> </w:t>
            </w:r>
            <w:r>
              <w:rPr>
                <w:rFonts w:hint="eastAsia" w:ascii="仿宋_GB2312" w:hAnsi="仿宋_GB2312" w:eastAsia="仿宋_GB2312" w:cs="仿宋_GB2312"/>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备注</w:t>
            </w:r>
          </w:p>
        </w:tc>
      </w:tr>
      <w:tr>
        <w:trPr>
          <w:trHeight w:val="582" w:hRule="atLeast"/>
        </w:trPr>
        <w:tc>
          <w:tcPr>
            <w:tcW w:w="958" w:type="dxa"/>
            <w:vMerge w:val="restart"/>
            <w:tcBorders>
              <w:top w:val="single" w:color="000000" w:sz="4" w:space="0"/>
              <w:left w:val="single" w:color="000000" w:sz="4" w:space="0"/>
              <w:right w:val="single" w:color="000000" w:sz="4" w:space="0"/>
            </w:tcBorders>
            <w:vAlign w:val="center"/>
          </w:tcPr>
          <w:p>
            <w:pPr>
              <w:numPr>
                <w:numId w:val="0"/>
              </w:numPr>
              <w:spacing w:line="240" w:lineRule="auto"/>
              <w:ind w:leftChars="0"/>
              <w:jc w:val="both"/>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val="en-US" w:eastAsia="zh-CN"/>
              </w:rPr>
              <w:t>五、保育    保健</w:t>
            </w:r>
            <w:r>
              <w:rPr>
                <w:rFonts w:hint="eastAsia" w:ascii="仿宋_GB2312" w:hAnsi="仿宋_GB2312" w:eastAsia="仿宋_GB2312" w:cs="仿宋_GB2312"/>
                <w:b w:val="0"/>
                <w:bCs w:val="0"/>
                <w:kern w:val="0"/>
                <w:sz w:val="21"/>
                <w:szCs w:val="21"/>
                <w:lang w:eastAsia="zh-CN"/>
              </w:rPr>
              <w:t>（</w:t>
            </w:r>
            <w:r>
              <w:rPr>
                <w:rFonts w:hint="eastAsia" w:ascii="仿宋_GB2312" w:hAnsi="仿宋_GB2312" w:cs="仿宋_GB2312"/>
                <w:b w:val="0"/>
                <w:bCs w:val="0"/>
                <w:kern w:val="0"/>
                <w:sz w:val="21"/>
                <w:szCs w:val="21"/>
                <w:lang w:val="en-US" w:eastAsia="zh-CN"/>
              </w:rPr>
              <w:t>15</w:t>
            </w:r>
            <w:r>
              <w:rPr>
                <w:rFonts w:hint="eastAsia" w:ascii="仿宋_GB2312" w:hAnsi="仿宋_GB2312" w:eastAsia="仿宋_GB2312" w:cs="仿宋_GB2312"/>
                <w:b w:val="0"/>
                <w:bCs w:val="0"/>
                <w:kern w:val="0"/>
                <w:sz w:val="21"/>
                <w:szCs w:val="21"/>
                <w:lang w:val="en-US" w:eastAsia="zh-CN"/>
              </w:rPr>
              <w:t>分</w:t>
            </w:r>
            <w:r>
              <w:rPr>
                <w:rFonts w:hint="eastAsia" w:ascii="仿宋_GB2312" w:hAnsi="仿宋_GB2312" w:eastAsia="仿宋_GB2312" w:cs="仿宋_GB2312"/>
                <w:b w:val="0"/>
                <w:bCs w:val="0"/>
                <w:kern w:val="0"/>
                <w:sz w:val="21"/>
                <w:szCs w:val="21"/>
                <w:lang w:eastAsia="zh-CN"/>
              </w:rPr>
              <w:t>）</w:t>
            </w:r>
          </w:p>
        </w:tc>
        <w:tc>
          <w:tcPr>
            <w:tcW w:w="900"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5.4食品</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安全与营养膳食</w:t>
            </w:r>
          </w:p>
          <w:p>
            <w:pPr>
              <w:spacing w:line="240" w:lineRule="auto"/>
              <w:jc w:val="center"/>
              <w:rPr>
                <w:rFonts w:hint="eastAsia" w:ascii="仿宋_GB2312" w:hAnsi="仿宋_GB2312" w:eastAsia="仿宋_GB2312" w:cs="仿宋_GB2312"/>
                <w:b w:val="0"/>
                <w:bCs w:val="0"/>
                <w:kern w:val="0"/>
                <w:sz w:val="21"/>
                <w:szCs w:val="21"/>
                <w:lang w:val="en-US" w:eastAsia="zh-CN"/>
              </w:rPr>
            </w:pPr>
          </w:p>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78</w:t>
            </w:r>
            <w:r>
              <w:rPr>
                <w:rFonts w:hint="eastAsia" w:ascii="仿宋_GB2312" w:hAnsi="仿宋_GB2312" w:eastAsia="仿宋_GB2312" w:cs="仿宋_GB2312"/>
                <w:b w:val="0"/>
                <w:bCs w:val="0"/>
                <w:kern w:val="0"/>
                <w:sz w:val="21"/>
                <w:szCs w:val="21"/>
                <w:lang w:val="en-US" w:eastAsia="zh-CN"/>
              </w:rPr>
              <w:t>.幼儿园食堂应当严格执行食品卫生安全制度,各种证照必须齐全，相关管理制度健全，各种记录完整。</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查阅资料</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sz w:val="21"/>
                <w:szCs w:val="21"/>
              </w:rPr>
            </w:pPr>
          </w:p>
        </w:tc>
      </w:tr>
      <w:tr>
        <w:trPr>
          <w:trHeight w:val="181" w:hRule="atLeast"/>
        </w:trPr>
        <w:tc>
          <w:tcPr>
            <w:tcW w:w="958"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79</w:t>
            </w:r>
            <w:r>
              <w:rPr>
                <w:rFonts w:hint="eastAsia" w:ascii="仿宋_GB2312" w:hAnsi="仿宋_GB2312" w:eastAsia="仿宋_GB2312" w:cs="仿宋_GB2312"/>
                <w:b w:val="0"/>
                <w:bCs w:val="0"/>
                <w:kern w:val="0"/>
                <w:sz w:val="21"/>
                <w:szCs w:val="21"/>
                <w:lang w:val="en-US" w:eastAsia="zh-CN"/>
              </w:rPr>
              <w:t>.严格执行《托儿所幼儿园卫生保健工作规范》，幼儿膳食科学合理，营养均衡；根据季节变化和幼儿年龄特点每周编制营养平衡的幼儿食谱,定期计算和分析幼儿的进食量和营养素摄取量,保证幼儿合理膳食；幼儿园应当每周向家长公示幼儿食谱,并按照相关规定进行食品留样。</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both"/>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 xml:space="preserve"> </w:t>
            </w: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sz w:val="21"/>
                <w:szCs w:val="21"/>
              </w:rPr>
            </w:pPr>
          </w:p>
        </w:tc>
      </w:tr>
      <w:tr>
        <w:trPr>
          <w:trHeight w:val="400" w:hRule="atLeast"/>
        </w:trPr>
        <w:tc>
          <w:tcPr>
            <w:tcW w:w="958" w:type="dxa"/>
            <w:vMerge w:val="continue"/>
            <w:tcBorders>
              <w:left w:val="single" w:color="000000" w:sz="4" w:space="0"/>
              <w:right w:val="single" w:color="000000" w:sz="4" w:space="0"/>
            </w:tcBorders>
            <w:vAlign w:val="center"/>
          </w:tcPr>
          <w:p>
            <w:pPr>
              <w:numPr>
                <w:numId w:val="0"/>
              </w:numPr>
              <w:spacing w:line="240" w:lineRule="auto"/>
              <w:ind w:leftChars="0"/>
              <w:jc w:val="center"/>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80</w:t>
            </w:r>
            <w:r>
              <w:rPr>
                <w:rFonts w:hint="eastAsia" w:ascii="仿宋_GB2312" w:hAnsi="仿宋_GB2312" w:eastAsia="仿宋_GB2312" w:cs="仿宋_GB2312"/>
                <w:b w:val="0"/>
                <w:bCs w:val="0"/>
                <w:kern w:val="0"/>
                <w:sz w:val="21"/>
                <w:szCs w:val="21"/>
                <w:lang w:val="en-US" w:eastAsia="zh-CN"/>
              </w:rPr>
              <w:t>.幼儿两正餐间隔3.5—4小时，进餐时间20—30分钟,餐后安静活动或散步时间为10—15分钟，幼儿不吃剩饭菜和凉拌菜。职工伙食严格与幼儿分开。</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328" w:hRule="atLeast"/>
        </w:trPr>
        <w:tc>
          <w:tcPr>
            <w:tcW w:w="958"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8</w:t>
            </w: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严格执行《中华人民共和国食品安全法》等有关法律法规，高度关注饮食卫生，确保食品安全。厨房整洁卫生，操作间布局合理，各种用具按要求消毒，生熟分开，标识明确，定位存放。做好定点采购、索证、验收、贮藏、加工等工作。</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1228" w:hRule="atLeast"/>
        </w:trPr>
        <w:tc>
          <w:tcPr>
            <w:tcW w:w="958" w:type="dxa"/>
            <w:vMerge w:val="restart"/>
            <w:tcBorders>
              <w:top w:val="single" w:color="000000" w:sz="4" w:space="0"/>
              <w:left w:val="single" w:color="000000" w:sz="4" w:space="0"/>
              <w:right w:val="single" w:color="000000" w:sz="4" w:space="0"/>
            </w:tcBorders>
            <w:vAlign w:val="center"/>
          </w:tcPr>
          <w:p>
            <w:pPr>
              <w:numPr>
                <w:numId w:val="0"/>
              </w:numPr>
              <w:spacing w:line="240" w:lineRule="auto"/>
              <w:ind w:leftChars="0"/>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六、教育   教学（2</w:t>
            </w:r>
            <w:r>
              <w:rPr>
                <w:rFonts w:hint="eastAsia" w:ascii="仿宋_GB2312" w:hAnsi="仿宋_GB2312" w:cs="仿宋_GB2312"/>
                <w:b w:val="0"/>
                <w:bCs w:val="0"/>
                <w:kern w:val="0"/>
                <w:sz w:val="21"/>
                <w:szCs w:val="21"/>
                <w:lang w:val="en-US" w:eastAsia="zh-CN"/>
              </w:rPr>
              <w:t>0</w:t>
            </w:r>
            <w:r>
              <w:rPr>
                <w:rFonts w:hint="eastAsia" w:ascii="仿宋_GB2312" w:hAnsi="仿宋_GB2312" w:eastAsia="仿宋_GB2312" w:cs="仿宋_GB2312"/>
                <w:b w:val="0"/>
                <w:bCs w:val="0"/>
                <w:kern w:val="0"/>
                <w:sz w:val="21"/>
                <w:szCs w:val="21"/>
                <w:lang w:val="en-US" w:eastAsia="zh-CN"/>
              </w:rPr>
              <w:t>分）</w:t>
            </w:r>
          </w:p>
          <w:p>
            <w:pPr>
              <w:spacing w:line="240" w:lineRule="auto"/>
              <w:jc w:val="center"/>
              <w:rPr>
                <w:rFonts w:hint="eastAsia" w:ascii="仿宋_GB2312" w:hAnsi="仿宋_GB2312" w:eastAsia="仿宋_GB2312" w:cs="仿宋_GB2312"/>
                <w:b w:val="0"/>
                <w:bCs w:val="0"/>
                <w:kern w:val="0"/>
                <w:sz w:val="21"/>
                <w:szCs w:val="21"/>
                <w:lang w:val="en-US" w:eastAsia="zh-CN"/>
              </w:rPr>
            </w:pPr>
          </w:p>
          <w:p>
            <w:pPr>
              <w:spacing w:line="240" w:lineRule="auto"/>
              <w:jc w:val="center"/>
              <w:rPr>
                <w:rFonts w:hint="eastAsia" w:ascii="仿宋_GB2312" w:hAnsi="仿宋_GB2312" w:eastAsia="仿宋_GB2312" w:cs="仿宋_GB2312"/>
                <w:b w:val="0"/>
                <w:bCs w:val="0"/>
                <w:kern w:val="0"/>
                <w:sz w:val="21"/>
                <w:szCs w:val="21"/>
                <w:lang w:val="en-US" w:eastAsia="zh-CN"/>
              </w:rPr>
            </w:pP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p>
        </w:tc>
        <w:tc>
          <w:tcPr>
            <w:tcW w:w="900" w:type="dxa"/>
            <w:tcBorders>
              <w:top w:val="single" w:color="000000" w:sz="4" w:space="0"/>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6.1教育</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 xml:space="preserve"> 理念</w:t>
            </w:r>
          </w:p>
          <w:p>
            <w:pPr>
              <w:spacing w:line="240" w:lineRule="auto"/>
              <w:jc w:val="center"/>
              <w:rPr>
                <w:rFonts w:hint="eastAsia" w:ascii="仿宋_GB2312" w:hAnsi="仿宋_GB2312" w:eastAsia="仿宋_GB2312" w:cs="仿宋_GB2312"/>
                <w:b w:val="0"/>
                <w:bCs w:val="0"/>
                <w:kern w:val="0"/>
                <w:sz w:val="21"/>
                <w:szCs w:val="21"/>
                <w:lang w:val="en-US" w:eastAsia="zh-CN"/>
              </w:rPr>
            </w:pPr>
          </w:p>
          <w:p>
            <w:pPr>
              <w:widowControl w:val="0"/>
              <w:wordWrap/>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8</w:t>
            </w:r>
            <w:r>
              <w:rPr>
                <w:rFonts w:hint="eastAsia" w:ascii="仿宋_GB2312" w:hAnsi="仿宋_GB2312" w:cs="仿宋_GB2312"/>
                <w:b w:val="0"/>
                <w:bCs w:val="0"/>
                <w:kern w:val="0"/>
                <w:sz w:val="21"/>
                <w:szCs w:val="21"/>
                <w:lang w:val="en-US" w:eastAsia="zh-CN"/>
              </w:rPr>
              <w:t>2</w:t>
            </w:r>
            <w:r>
              <w:rPr>
                <w:rFonts w:hint="eastAsia" w:ascii="仿宋_GB2312" w:hAnsi="仿宋_GB2312" w:eastAsia="仿宋_GB2312" w:cs="仿宋_GB2312"/>
                <w:b w:val="0"/>
                <w:bCs w:val="0"/>
                <w:kern w:val="0"/>
                <w:sz w:val="21"/>
                <w:szCs w:val="21"/>
                <w:lang w:val="en-US" w:eastAsia="zh-CN"/>
              </w:rPr>
              <w:t>.贯彻落实学前教育政策法规，坚持正确的儿童观、教育观。保教人员深入理解、准确把握《幼儿园教育指导纲要（试行）》《3～6岁儿童学习与发展指南》《幼儿园工作规程》的基本理念（2分）。严禁提前教授小学教育内容，</w:t>
            </w:r>
            <w:r>
              <w:rPr>
                <w:rFonts w:hint="eastAsia" w:ascii="仿宋_GB2312" w:hAnsi="仿宋_GB2312" w:cs="仿宋_GB2312"/>
                <w:b w:val="0"/>
                <w:bCs w:val="0"/>
                <w:kern w:val="0"/>
                <w:sz w:val="21"/>
                <w:szCs w:val="21"/>
                <w:lang w:val="en-US" w:eastAsia="zh-CN"/>
              </w:rPr>
              <w:t>要注重</w:t>
            </w:r>
            <w:r>
              <w:rPr>
                <w:rFonts w:hint="eastAsia" w:ascii="仿宋_GB2312" w:hAnsi="仿宋_GB2312" w:eastAsia="仿宋_GB2312" w:cs="仿宋_GB2312"/>
                <w:b w:val="0"/>
                <w:bCs w:val="0"/>
                <w:kern w:val="0"/>
                <w:sz w:val="21"/>
                <w:szCs w:val="21"/>
                <w:lang w:val="en-US" w:eastAsia="zh-CN"/>
              </w:rPr>
              <w:t>与小学密切联系，互相配合，做好幼小衔接工作</w:t>
            </w:r>
            <w:r>
              <w:rPr>
                <w:rFonts w:hint="eastAsia" w:ascii="仿宋_GB2312" w:hAnsi="仿宋_GB2312" w:cs="仿宋_GB2312"/>
                <w:b w:val="0"/>
                <w:bCs w:val="0"/>
                <w:kern w:val="0"/>
                <w:sz w:val="21"/>
                <w:szCs w:val="21"/>
                <w:lang w:val="en-US" w:eastAsia="zh-CN"/>
              </w:rPr>
              <w:t>，</w:t>
            </w:r>
            <w:r>
              <w:rPr>
                <w:rFonts w:hint="eastAsia" w:ascii="仿宋_GB2312" w:hAnsi="仿宋_GB2312" w:eastAsia="仿宋_GB2312" w:cs="仿宋_GB2312"/>
                <w:b w:val="0"/>
                <w:bCs w:val="0"/>
                <w:kern w:val="0"/>
                <w:sz w:val="21"/>
                <w:szCs w:val="21"/>
                <w:lang w:val="en-US" w:eastAsia="zh-CN"/>
              </w:rPr>
              <w:t>不得开展任何违背幼儿身心发展规律的活动。（2分）</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4分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随机访谈</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942" w:hRule="atLeast"/>
        </w:trPr>
        <w:tc>
          <w:tcPr>
            <w:tcW w:w="958"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6.2课程</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建设</w:t>
            </w:r>
          </w:p>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8</w:t>
            </w:r>
            <w:r>
              <w:rPr>
                <w:rFonts w:hint="eastAsia" w:ascii="仿宋_GB2312" w:hAnsi="仿宋_GB2312" w:cs="仿宋_GB2312"/>
                <w:b w:val="0"/>
                <w:bCs w:val="0"/>
                <w:kern w:val="0"/>
                <w:sz w:val="21"/>
                <w:szCs w:val="21"/>
                <w:lang w:val="en-US" w:eastAsia="zh-CN"/>
              </w:rPr>
              <w:t>3</w:t>
            </w:r>
            <w:r>
              <w:rPr>
                <w:rFonts w:hint="eastAsia" w:ascii="仿宋_GB2312" w:hAnsi="仿宋_GB2312" w:eastAsia="仿宋_GB2312" w:cs="仿宋_GB2312"/>
                <w:b w:val="0"/>
                <w:bCs w:val="0"/>
                <w:kern w:val="0"/>
                <w:sz w:val="21"/>
                <w:szCs w:val="21"/>
                <w:lang w:val="en-US" w:eastAsia="zh-CN"/>
              </w:rPr>
              <w:t>.严格依据《幼儿园教育指导纲要（试行）》和《3-6岁儿童学习与发展指南》精神，教育活动内容适宜，涉及健康、语言、社会、科学、艺术等各领域。课程内容丰富，各领域内容相互渗透（2分）。课程设置均衡，科学合理，无超载现象（</w:t>
            </w: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3</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查看半日</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活动</w:t>
            </w:r>
          </w:p>
        </w:tc>
        <w:tc>
          <w:tcPr>
            <w:tcW w:w="911"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1157" w:hRule="atLeast"/>
        </w:trPr>
        <w:tc>
          <w:tcPr>
            <w:tcW w:w="958" w:type="dxa"/>
            <w:vMerge w:val="continue"/>
            <w:tcBorders>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6.3环境</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创设</w:t>
            </w: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8</w:t>
            </w:r>
            <w:r>
              <w:rPr>
                <w:rFonts w:hint="eastAsia" w:ascii="仿宋_GB2312" w:hAnsi="仿宋_GB2312" w:cs="仿宋_GB2312"/>
                <w:b w:val="0"/>
                <w:bCs w:val="0"/>
                <w:kern w:val="0"/>
                <w:sz w:val="21"/>
                <w:szCs w:val="21"/>
                <w:lang w:val="en-US" w:eastAsia="zh-CN"/>
              </w:rPr>
              <w:t>4</w:t>
            </w:r>
            <w:r>
              <w:rPr>
                <w:rFonts w:hint="eastAsia" w:ascii="仿宋_GB2312" w:hAnsi="仿宋_GB2312" w:eastAsia="仿宋_GB2312" w:cs="仿宋_GB2312"/>
                <w:b w:val="0"/>
                <w:bCs w:val="0"/>
                <w:kern w:val="0"/>
                <w:sz w:val="21"/>
                <w:szCs w:val="21"/>
                <w:lang w:val="en-US" w:eastAsia="zh-CN"/>
              </w:rPr>
              <w:t>.幼儿园环境总体风格和谐统一,整体环境安全整洁,色调温馨和谐，图案美观大方。室内空间布局合理，能满足幼儿一日活动中游戏、学习、生活等需要。活动区划分科学，各区域设置有利于幼儿以适宜的人数参加。</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tc>
        <w:tc>
          <w:tcPr>
            <w:tcW w:w="911"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tcBorders>
            <w:vAlign w:val="top"/>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52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lang w:eastAsia="zh-CN"/>
              </w:rPr>
              <w:t>一</w:t>
            </w:r>
            <w:r>
              <w:rPr>
                <w:rFonts w:hint="eastAsia" w:ascii="仿宋_GB2312" w:hAnsi="仿宋_GB2312" w:eastAsia="仿宋_GB2312" w:cs="仿宋_GB2312"/>
                <w:b w:val="0"/>
                <w:bCs w:val="0"/>
                <w:sz w:val="21"/>
                <w:szCs w:val="21"/>
              </w:rPr>
              <w:t>级指标</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eastAsia="zh-CN"/>
              </w:rPr>
              <w:t>二</w:t>
            </w:r>
            <w:r>
              <w:rPr>
                <w:rFonts w:hint="eastAsia" w:ascii="仿宋_GB2312" w:hAnsi="仿宋_GB2312" w:eastAsia="仿宋_GB2312" w:cs="仿宋_GB2312"/>
                <w:b w:val="0"/>
                <w:bCs w:val="0"/>
                <w:sz w:val="21"/>
                <w:szCs w:val="21"/>
              </w:rPr>
              <w:t>级</w:t>
            </w:r>
          </w:p>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rPr>
              <w:t>指标</w:t>
            </w:r>
          </w:p>
        </w:tc>
        <w:tc>
          <w:tcPr>
            <w:tcW w:w="8690"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both"/>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val="en-US" w:eastAsia="zh-CN"/>
              </w:rPr>
              <w:t xml:space="preserve"> </w:t>
            </w:r>
            <w:r>
              <w:rPr>
                <w:rFonts w:hint="eastAsia" w:ascii="仿宋_GB2312" w:hAnsi="仿宋_GB2312" w:eastAsia="仿宋_GB2312" w:cs="仿宋_GB2312"/>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备注</w:t>
            </w:r>
          </w:p>
        </w:tc>
      </w:tr>
      <w:tr>
        <w:trPr>
          <w:trHeight w:val="582" w:hRule="atLeast"/>
        </w:trPr>
        <w:tc>
          <w:tcPr>
            <w:tcW w:w="958" w:type="dxa"/>
            <w:vMerge w:val="restart"/>
            <w:tcBorders>
              <w:top w:val="single" w:color="000000" w:sz="4" w:space="0"/>
              <w:left w:val="single" w:color="000000" w:sz="4" w:space="0"/>
              <w:right w:val="single" w:color="000000" w:sz="4" w:space="0"/>
            </w:tcBorders>
            <w:vAlign w:val="center"/>
          </w:tcPr>
          <w:p>
            <w:pPr>
              <w:numPr>
                <w:numId w:val="0"/>
              </w:numPr>
              <w:spacing w:line="240" w:lineRule="auto"/>
              <w:ind w:leftChars="0"/>
              <w:jc w:val="both"/>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六、教育教学（</w:t>
            </w:r>
            <w:r>
              <w:rPr>
                <w:rFonts w:hint="eastAsia" w:ascii="仿宋_GB2312" w:hAnsi="仿宋_GB2312" w:eastAsia="仿宋_GB2312" w:cs="仿宋_GB2312"/>
                <w:b w:val="0"/>
                <w:bCs w:val="0"/>
                <w:kern w:val="0"/>
                <w:sz w:val="21"/>
                <w:szCs w:val="21"/>
                <w:lang w:val="en-US" w:eastAsia="zh-CN"/>
              </w:rPr>
              <w:t>2</w:t>
            </w:r>
            <w:r>
              <w:rPr>
                <w:rFonts w:hint="eastAsia" w:ascii="仿宋_GB2312" w:hAnsi="仿宋_GB2312" w:cs="仿宋_GB2312"/>
                <w:b w:val="0"/>
                <w:bCs w:val="0"/>
                <w:kern w:val="0"/>
                <w:sz w:val="21"/>
                <w:szCs w:val="21"/>
                <w:lang w:val="en-US" w:eastAsia="zh-CN"/>
              </w:rPr>
              <w:t>0</w:t>
            </w:r>
            <w:r>
              <w:rPr>
                <w:rFonts w:hint="eastAsia" w:ascii="仿宋_GB2312" w:hAnsi="仿宋_GB2312" w:eastAsia="仿宋_GB2312" w:cs="仿宋_GB2312"/>
                <w:b w:val="0"/>
                <w:bCs w:val="0"/>
                <w:kern w:val="0"/>
                <w:sz w:val="21"/>
                <w:szCs w:val="21"/>
                <w:lang w:val="en-US" w:eastAsia="zh-CN"/>
              </w:rPr>
              <w:t>分</w:t>
            </w:r>
            <w:r>
              <w:rPr>
                <w:rFonts w:hint="eastAsia" w:ascii="仿宋_GB2312" w:hAnsi="仿宋_GB2312" w:eastAsia="仿宋_GB2312" w:cs="仿宋_GB2312"/>
                <w:b w:val="0"/>
                <w:bCs w:val="0"/>
                <w:kern w:val="0"/>
                <w:sz w:val="21"/>
                <w:szCs w:val="21"/>
                <w:lang w:eastAsia="zh-CN"/>
              </w:rPr>
              <w:t>）</w:t>
            </w:r>
          </w:p>
        </w:tc>
        <w:tc>
          <w:tcPr>
            <w:tcW w:w="900" w:type="dxa"/>
            <w:vMerge w:val="restart"/>
            <w:tcBorders>
              <w:top w:val="single" w:color="000000" w:sz="4" w:space="0"/>
              <w:left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6.4一日</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活动组织与实施</w:t>
            </w:r>
          </w:p>
          <w:p>
            <w:pPr>
              <w:spacing w:line="240" w:lineRule="auto"/>
              <w:jc w:val="left"/>
              <w:rPr>
                <w:rFonts w:hint="eastAsia" w:ascii="仿宋_GB2312" w:hAnsi="仿宋_GB2312" w:eastAsia="仿宋_GB2312" w:cs="仿宋_GB2312"/>
                <w:b w:val="0"/>
                <w:bCs w:val="0"/>
                <w:kern w:val="0"/>
                <w:sz w:val="21"/>
                <w:szCs w:val="21"/>
                <w:lang w:val="en-US" w:eastAsia="zh-CN"/>
              </w:rPr>
            </w:pPr>
          </w:p>
          <w:p>
            <w:pPr>
              <w:spacing w:line="240" w:lineRule="auto"/>
              <w:jc w:val="left"/>
              <w:rPr>
                <w:rFonts w:hint="eastAsia" w:ascii="仿宋_GB2312" w:hAnsi="仿宋_GB2312" w:eastAsia="仿宋_GB2312" w:cs="仿宋_GB2312"/>
                <w:b w:val="0"/>
                <w:bCs w:val="0"/>
                <w:kern w:val="0"/>
                <w:sz w:val="21"/>
                <w:szCs w:val="21"/>
                <w:lang w:val="en-US" w:eastAsia="zh-CN"/>
              </w:rPr>
            </w:pPr>
          </w:p>
          <w:p>
            <w:pPr>
              <w:spacing w:line="240" w:lineRule="auto"/>
              <w:jc w:val="left"/>
              <w:rPr>
                <w:rFonts w:hint="eastAsia" w:ascii="仿宋_GB2312" w:hAnsi="仿宋_GB2312" w:eastAsia="仿宋_GB2312" w:cs="仿宋_GB2312"/>
                <w:b w:val="0"/>
                <w:bCs w:val="0"/>
                <w:kern w:val="0"/>
                <w:sz w:val="21"/>
                <w:szCs w:val="21"/>
                <w:lang w:val="en-US" w:eastAsia="zh-CN"/>
              </w:rPr>
            </w:pPr>
          </w:p>
          <w:p>
            <w:pPr>
              <w:spacing w:line="240" w:lineRule="auto"/>
              <w:jc w:val="left"/>
              <w:rPr>
                <w:rFonts w:hint="eastAsia" w:ascii="仿宋_GB2312" w:hAnsi="仿宋_GB2312" w:eastAsia="仿宋_GB2312" w:cs="仿宋_GB2312"/>
                <w:b w:val="0"/>
                <w:bCs w:val="0"/>
                <w:kern w:val="0"/>
                <w:sz w:val="21"/>
                <w:szCs w:val="21"/>
                <w:lang w:val="en-US" w:eastAsia="zh-CN"/>
              </w:rPr>
            </w:pPr>
          </w:p>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8</w:t>
            </w:r>
            <w:r>
              <w:rPr>
                <w:rFonts w:hint="eastAsia" w:ascii="仿宋_GB2312" w:hAnsi="仿宋_GB2312" w:cs="仿宋_GB2312"/>
                <w:b w:val="0"/>
                <w:bCs w:val="0"/>
                <w:kern w:val="0"/>
                <w:sz w:val="21"/>
                <w:szCs w:val="21"/>
                <w:lang w:val="en-US" w:eastAsia="zh-CN"/>
              </w:rPr>
              <w:t>5</w:t>
            </w:r>
            <w:r>
              <w:rPr>
                <w:rFonts w:hint="eastAsia" w:ascii="仿宋_GB2312" w:hAnsi="仿宋_GB2312" w:eastAsia="仿宋_GB2312" w:cs="仿宋_GB2312"/>
                <w:b w:val="0"/>
                <w:bCs w:val="0"/>
                <w:kern w:val="0"/>
                <w:sz w:val="21"/>
                <w:szCs w:val="21"/>
                <w:lang w:val="en-US" w:eastAsia="zh-CN"/>
              </w:rPr>
              <w:t>.全园及每班均有学期保教工作计划、月保教工作重点、周活动计划、日活动安排（2分）。各类教育活动目标明确具体，内容科学，贴近幼儿生活，符合幼儿发展水平（</w:t>
            </w:r>
            <w:r>
              <w:rPr>
                <w:rFonts w:hint="eastAsia" w:ascii="仿宋_GB2312" w:hAnsi="仿宋_GB2312" w:cs="仿宋_GB2312"/>
                <w:b w:val="0"/>
                <w:bCs w:val="0"/>
                <w:kern w:val="0"/>
                <w:sz w:val="21"/>
                <w:szCs w:val="21"/>
                <w:lang w:val="en-US" w:eastAsia="zh-CN"/>
              </w:rPr>
              <w:t>1</w:t>
            </w:r>
            <w:r>
              <w:rPr>
                <w:rFonts w:hint="eastAsia" w:ascii="仿宋_GB2312" w:hAnsi="仿宋_GB2312" w:eastAsia="仿宋_GB2312" w:cs="仿宋_GB2312"/>
                <w:b w:val="0"/>
                <w:bCs w:val="0"/>
                <w:kern w:val="0"/>
                <w:sz w:val="21"/>
                <w:szCs w:val="21"/>
                <w:lang w:val="en-US" w:eastAsia="zh-CN"/>
              </w:rPr>
              <w:t>分）。各年龄班、各季节有科学的一日生活作息制度。每日集体教学活动时间小班不超过30分钟、中大班不超过1小时，户外活动时间不少于2小时，室内游戏时间不少于1小时，午休时间不少于2.5小时</w:t>
            </w:r>
            <w:r>
              <w:rPr>
                <w:rFonts w:hint="eastAsia" w:ascii="仿宋_GB2312" w:hAnsi="仿宋_GB2312" w:cs="仿宋_GB2312"/>
                <w:b w:val="0"/>
                <w:bCs w:val="0"/>
                <w:kern w:val="0"/>
                <w:sz w:val="21"/>
                <w:szCs w:val="21"/>
                <w:lang w:val="en-US" w:eastAsia="zh-CN"/>
              </w:rPr>
              <w:t>。</w:t>
            </w:r>
            <w:r>
              <w:rPr>
                <w:rFonts w:hint="eastAsia" w:ascii="仿宋_GB2312" w:hAnsi="仿宋_GB2312" w:eastAsia="仿宋_GB2312" w:cs="仿宋_GB2312"/>
                <w:b w:val="0"/>
                <w:bCs w:val="0"/>
                <w:kern w:val="0"/>
                <w:sz w:val="21"/>
                <w:szCs w:val="21"/>
                <w:lang w:val="en-US" w:eastAsia="zh-CN"/>
              </w:rPr>
              <w:t>(</w:t>
            </w:r>
            <w:r>
              <w:rPr>
                <w:rFonts w:hint="eastAsia" w:ascii="仿宋_GB2312" w:hAnsi="仿宋_GB2312" w:cs="仿宋_GB2312"/>
                <w:b w:val="0"/>
                <w:bCs w:val="0"/>
                <w:kern w:val="0"/>
                <w:sz w:val="21"/>
                <w:szCs w:val="21"/>
                <w:lang w:val="en-US" w:eastAsia="zh-CN"/>
              </w:rPr>
              <w:t>2</w:t>
            </w:r>
            <w:r>
              <w:rPr>
                <w:rFonts w:hint="eastAsia" w:ascii="仿宋_GB2312" w:hAnsi="仿宋_GB2312" w:eastAsia="仿宋_GB2312" w:cs="仿宋_GB2312"/>
                <w:b w:val="0"/>
                <w:bCs w:val="0"/>
                <w:kern w:val="0"/>
                <w:sz w:val="21"/>
                <w:szCs w:val="21"/>
                <w:lang w:val="en-US" w:eastAsia="zh-CN"/>
              </w:rPr>
              <w:t>分)</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5</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访谈了解</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sz w:val="21"/>
                <w:szCs w:val="21"/>
              </w:rPr>
            </w:pPr>
          </w:p>
        </w:tc>
      </w:tr>
      <w:tr>
        <w:trPr>
          <w:trHeight w:val="181" w:hRule="atLeast"/>
        </w:trPr>
        <w:tc>
          <w:tcPr>
            <w:tcW w:w="958"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8</w:t>
            </w:r>
            <w:r>
              <w:rPr>
                <w:rFonts w:hint="eastAsia" w:ascii="仿宋_GB2312" w:hAnsi="仿宋_GB2312" w:cs="仿宋_GB2312"/>
                <w:b w:val="0"/>
                <w:bCs w:val="0"/>
                <w:kern w:val="0"/>
                <w:sz w:val="21"/>
                <w:szCs w:val="21"/>
                <w:lang w:val="en-US" w:eastAsia="zh-CN"/>
              </w:rPr>
              <w:t>6</w:t>
            </w:r>
            <w:r>
              <w:rPr>
                <w:rFonts w:hint="eastAsia" w:ascii="仿宋_GB2312" w:hAnsi="仿宋_GB2312" w:eastAsia="仿宋_GB2312" w:cs="仿宋_GB2312"/>
                <w:b w:val="0"/>
                <w:bCs w:val="0"/>
                <w:kern w:val="0"/>
                <w:sz w:val="21"/>
                <w:szCs w:val="21"/>
                <w:lang w:val="en-US" w:eastAsia="zh-CN"/>
              </w:rPr>
              <w:t>.教育活动的组织应充分考虑幼儿的学习特点和认知规律，以游戏为基本活动方式，寓教育于游戏之中（1分）。提供丰富适宜的游戏材料，充分保证幼儿游戏活动时间，允许并鼓励幼儿自主游戏（1分）。</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2</w:t>
            </w:r>
            <w:r>
              <w:rPr>
                <w:rFonts w:hint="eastAsia" w:ascii="仿宋_GB2312" w:hAnsi="仿宋_GB2312" w:eastAsia="仿宋_GB2312" w:cs="仿宋_GB2312"/>
                <w:b w:val="0"/>
                <w:bCs w:val="0"/>
                <w:kern w:val="0"/>
                <w:sz w:val="21"/>
                <w:szCs w:val="21"/>
                <w:lang w:val="en-US" w:eastAsia="zh-CN"/>
              </w:rPr>
              <w:t>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实地查看</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查阅资料</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仿宋_GB2312" w:hAnsi="仿宋_GB2312" w:eastAsia="仿宋_GB2312" w:cs="仿宋_GB2312"/>
                <w:b w:val="0"/>
                <w:bCs w:val="0"/>
                <w:sz w:val="21"/>
                <w:szCs w:val="21"/>
              </w:rPr>
            </w:pPr>
          </w:p>
        </w:tc>
      </w:tr>
      <w:tr>
        <w:trPr>
          <w:trHeight w:val="1469" w:hRule="atLeast"/>
        </w:trPr>
        <w:tc>
          <w:tcPr>
            <w:tcW w:w="958" w:type="dxa"/>
            <w:vMerge w:val="continue"/>
            <w:tcBorders>
              <w:left w:val="single" w:color="000000" w:sz="4" w:space="0"/>
              <w:right w:val="single" w:color="000000" w:sz="4" w:space="0"/>
            </w:tcBorders>
            <w:vAlign w:val="center"/>
          </w:tcPr>
          <w:p>
            <w:pPr>
              <w:numPr>
                <w:numId w:val="0"/>
              </w:numPr>
              <w:spacing w:line="240" w:lineRule="auto"/>
              <w:ind w:leftChars="0"/>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8</w:t>
            </w:r>
            <w:r>
              <w:rPr>
                <w:rFonts w:hint="eastAsia" w:ascii="仿宋_GB2312" w:hAnsi="仿宋_GB2312" w:cs="仿宋_GB2312"/>
                <w:b w:val="0"/>
                <w:bCs w:val="0"/>
                <w:kern w:val="0"/>
                <w:sz w:val="21"/>
                <w:szCs w:val="21"/>
                <w:lang w:val="en-US" w:eastAsia="zh-CN"/>
              </w:rPr>
              <w:t>7</w:t>
            </w:r>
            <w:r>
              <w:rPr>
                <w:rFonts w:hint="eastAsia" w:ascii="仿宋_GB2312" w:hAnsi="仿宋_GB2312" w:eastAsia="仿宋_GB2312" w:cs="仿宋_GB2312"/>
                <w:b w:val="0"/>
                <w:bCs w:val="0"/>
                <w:kern w:val="0"/>
                <w:sz w:val="21"/>
                <w:szCs w:val="21"/>
                <w:lang w:val="en-US" w:eastAsia="zh-CN"/>
              </w:rPr>
              <w:t>.面向全体幼儿，注重幼儿良好品质和习惯的养成，尊重幼儿在发展水平、能力、经验、学习方式等方面的个体差异，因人施教，促进幼儿全面和谐富有个性的发展（1分）。建立良好的师幼关系，营造平等、宽松、和谐的氛围。启发、鼓励幼儿大胆的探索和表达（1分）。</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2分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随机访谈</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观察半日</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活动</w:t>
            </w:r>
          </w:p>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328" w:hRule="atLeast"/>
        </w:trPr>
        <w:tc>
          <w:tcPr>
            <w:tcW w:w="958"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88</w:t>
            </w:r>
            <w:r>
              <w:rPr>
                <w:rFonts w:hint="eastAsia" w:ascii="仿宋_GB2312" w:hAnsi="仿宋_GB2312" w:eastAsia="仿宋_GB2312" w:cs="仿宋_GB2312"/>
                <w:b w:val="0"/>
                <w:bCs w:val="0"/>
                <w:kern w:val="0"/>
                <w:sz w:val="21"/>
                <w:szCs w:val="21"/>
                <w:lang w:val="en-US" w:eastAsia="zh-CN"/>
              </w:rPr>
              <w:t>.幼儿园日常生活组织,应当从实际出发,建立必要、合理的常规,坚持一贯性和灵活性相结合,培养幼儿的良好习惯和初步的生活自理能力。</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观察半日</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活动</w:t>
            </w:r>
          </w:p>
        </w:tc>
        <w:tc>
          <w:tcPr>
            <w:tcW w:w="91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r>
        <w:trPr>
          <w:trHeight w:val="90" w:hRule="atLeast"/>
        </w:trPr>
        <w:tc>
          <w:tcPr>
            <w:tcW w:w="958"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900" w:type="dxa"/>
            <w:vMerge w:val="continue"/>
            <w:tcBorders>
              <w:left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p>
        </w:tc>
        <w:tc>
          <w:tcPr>
            <w:tcW w:w="86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仿宋_GB2312" w:eastAsia="仿宋_GB2312" w:cs="仿宋_GB2312"/>
                <w:b w:val="0"/>
                <w:bCs w:val="0"/>
                <w:kern w:val="0"/>
                <w:sz w:val="21"/>
                <w:szCs w:val="21"/>
                <w:lang w:val="en-US" w:eastAsia="zh-CN"/>
              </w:rPr>
            </w:pPr>
            <w:r>
              <w:rPr>
                <w:rFonts w:hint="eastAsia" w:ascii="仿宋_GB2312" w:hAnsi="仿宋_GB2312" w:cs="仿宋_GB2312"/>
                <w:b w:val="0"/>
                <w:bCs w:val="0"/>
                <w:kern w:val="0"/>
                <w:sz w:val="21"/>
                <w:szCs w:val="21"/>
                <w:lang w:val="en-US" w:eastAsia="zh-CN"/>
              </w:rPr>
              <w:t>89</w:t>
            </w:r>
            <w:r>
              <w:rPr>
                <w:rFonts w:hint="eastAsia" w:ascii="仿宋_GB2312" w:hAnsi="仿宋_GB2312" w:eastAsia="仿宋_GB2312" w:cs="仿宋_GB2312"/>
                <w:b w:val="0"/>
                <w:bCs w:val="0"/>
                <w:kern w:val="0"/>
                <w:sz w:val="21"/>
                <w:szCs w:val="21"/>
                <w:lang w:val="en-US" w:eastAsia="zh-CN"/>
              </w:rPr>
              <w:t>.教育活动的过程应注重支持幼儿的主动探索、操作实践、合作交流和表达表现,不应片面追求活动结果。</w:t>
            </w:r>
          </w:p>
        </w:tc>
        <w:tc>
          <w:tcPr>
            <w:tcW w:w="7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观察半日</w:t>
            </w:r>
          </w:p>
          <w:p>
            <w:pPr>
              <w:spacing w:line="240" w:lineRule="auto"/>
              <w:jc w:val="center"/>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活动</w:t>
            </w:r>
          </w:p>
        </w:tc>
        <w:tc>
          <w:tcPr>
            <w:tcW w:w="911" w:type="dxa"/>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ind w:left="0" w:leftChars="0" w:right="0"/>
              <w:jc w:val="center"/>
              <w:rPr>
                <w:rFonts w:hint="eastAsia" w:ascii="仿宋_GB2312" w:hAnsi="仿宋_GB2312" w:eastAsia="仿宋_GB2312" w:cs="仿宋_GB2312"/>
                <w:b w:val="0"/>
                <w:bCs w:val="0"/>
                <w:kern w:val="0"/>
                <w:sz w:val="21"/>
                <w:szCs w:val="21"/>
                <w:lang w:val="en-US" w:eastAsia="zh-CN"/>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仿宋_GB2312" w:eastAsia="仿宋_GB2312" w:cs="仿宋_GB2312"/>
                <w:b w:val="0"/>
                <w:bCs w:val="0"/>
                <w:kern w:val="0"/>
                <w:sz w:val="21"/>
                <w:szCs w:val="21"/>
                <w:lang w:val="en-US" w:eastAsia="zh-CN"/>
              </w:rPr>
            </w:pPr>
          </w:p>
        </w:tc>
      </w:tr>
    </w:tbl>
    <w:p/>
    <w:p>
      <w:pPr>
        <w:autoSpaceDN w:val="0"/>
        <w:spacing w:line="260" w:lineRule="exact"/>
        <w:jc w:val="left"/>
        <w:rPr>
          <w:rFonts w:hint="eastAsia" w:ascii="仿宋_GB2312" w:hAnsi="仿宋" w:cs="宋体"/>
          <w:b w:val="0"/>
          <w:bCs w:val="0"/>
          <w:sz w:val="18"/>
          <w:szCs w:val="18"/>
          <w:lang w:val="en-US" w:eastAsia="zh-CN"/>
        </w:rPr>
      </w:pPr>
      <w:r>
        <w:rPr>
          <w:rFonts w:hint="eastAsia" w:ascii="仿宋_GB2312" w:hAnsi="仿宋" w:cs="宋体"/>
          <w:b w:val="0"/>
          <w:bCs w:val="0"/>
          <w:sz w:val="18"/>
          <w:szCs w:val="18"/>
          <w:lang w:val="en-US" w:eastAsia="zh-CN"/>
        </w:rPr>
        <w:t>注：1.实地查看的项目，以现场为准，无需资料准备。</w:t>
      </w:r>
    </w:p>
    <w:p>
      <w:pPr>
        <w:numPr>
          <w:numId w:val="0"/>
        </w:numPr>
        <w:autoSpaceDN w:val="0"/>
        <w:spacing w:line="260" w:lineRule="exact"/>
        <w:jc w:val="left"/>
        <w:rPr>
          <w:rFonts w:hint="eastAsia" w:ascii="仿宋_GB2312" w:hAnsi="仿宋" w:cs="宋体"/>
          <w:b w:val="0"/>
          <w:bCs w:val="0"/>
          <w:sz w:val="18"/>
          <w:szCs w:val="18"/>
          <w:lang w:val="en-US" w:eastAsia="zh-CN"/>
        </w:rPr>
      </w:pPr>
      <w:r>
        <w:rPr>
          <w:rFonts w:hint="eastAsia" w:ascii="仿宋_GB2312" w:hAnsi="仿宋" w:cs="宋体"/>
          <w:b w:val="0"/>
          <w:bCs w:val="0"/>
          <w:sz w:val="18"/>
          <w:szCs w:val="18"/>
          <w:lang w:val="en-US" w:eastAsia="zh-CN"/>
        </w:rPr>
        <w:t xml:space="preserve">    2.年审实行百分制，分为四个等次：90分以上（不含90分）为年审优秀幼儿园；70分以上（不含70分）--90分为年审合格幼儿园；60分--70分为基本合格幼儿园；60分以下（不含60分）为不合格幼儿园。存在文件中规定的可直接确定为“基本合格”、“不合格”情形的幼儿园，不需要按照得分情况评定年审档次。</w:t>
      </w:r>
    </w:p>
    <w:p>
      <w:pPr>
        <w:numPr>
          <w:numId w:val="0"/>
        </w:numPr>
        <w:autoSpaceDN w:val="0"/>
        <w:spacing w:line="260" w:lineRule="exact"/>
        <w:jc w:val="left"/>
        <w:rPr>
          <w:rFonts w:hint="eastAsia" w:ascii="仿宋_GB2312" w:hAnsi="仿宋" w:cs="宋体"/>
          <w:b w:val="0"/>
          <w:bCs w:val="0"/>
          <w:sz w:val="18"/>
          <w:szCs w:val="18"/>
          <w:lang w:val="en-US" w:eastAsia="zh-CN"/>
        </w:rPr>
      </w:pPr>
      <w:r>
        <w:rPr>
          <w:rFonts w:hint="eastAsia" w:ascii="仿宋" w:hAnsi="仿宋" w:eastAsia="仿宋" w:cs="仿宋"/>
          <w:spacing w:val="-2"/>
          <w:sz w:val="18"/>
          <w:szCs w:val="18"/>
          <w:lang w:val="en-US" w:eastAsia="zh-CN"/>
        </w:rPr>
        <w:t xml:space="preserve">   </w:t>
      </w:r>
      <w:r>
        <w:rPr>
          <w:rFonts w:hint="eastAsia" w:ascii="仿宋_GB2312" w:hAnsi="仿宋" w:cs="宋体"/>
          <w:b w:val="0"/>
          <w:bCs w:val="0"/>
          <w:sz w:val="18"/>
          <w:szCs w:val="18"/>
          <w:lang w:val="en-US" w:eastAsia="zh-CN"/>
        </w:rPr>
        <w:t xml:space="preserve"> 3.本《细则》由平顶山市教体局负责解释，自发布之日起施行。</w:t>
      </w:r>
    </w:p>
    <w:p>
      <w:pPr>
        <w:rPr>
          <w:rFonts w:hint="eastAsia" w:eastAsia="仿宋_GB2312"/>
          <w:lang w:eastAsia="zh-CN"/>
        </w:rPr>
      </w:pPr>
      <w:r>
        <w:rPr>
          <w:color w:val="000000"/>
          <w:sz w:val="28"/>
          <w:szCs w:val="28"/>
        </w:rPr>
        <w:t xml:space="preserve">检查时间：                        </w:t>
      </w:r>
      <w:r>
        <w:rPr>
          <w:rFonts w:hint="eastAsia"/>
          <w:color w:val="000000"/>
          <w:sz w:val="28"/>
          <w:szCs w:val="28"/>
          <w:lang w:val="en-US" w:eastAsia="zh-CN"/>
        </w:rPr>
        <w:t xml:space="preserve">             </w:t>
      </w:r>
      <w:r>
        <w:rPr>
          <w:color w:val="000000"/>
          <w:sz w:val="28"/>
          <w:szCs w:val="28"/>
        </w:rPr>
        <w:t xml:space="preserve"> 年</w:t>
      </w:r>
      <w:r>
        <w:rPr>
          <w:rFonts w:hint="eastAsia"/>
          <w:color w:val="000000"/>
          <w:sz w:val="28"/>
          <w:szCs w:val="28"/>
          <w:lang w:eastAsia="zh-CN"/>
        </w:rPr>
        <w:t>审</w:t>
      </w:r>
      <w:r>
        <w:rPr>
          <w:color w:val="000000"/>
          <w:sz w:val="28"/>
          <w:szCs w:val="28"/>
        </w:rPr>
        <w:t>人员签字</w:t>
      </w:r>
      <w:r>
        <w:rPr>
          <w:rFonts w:hint="eastAsia"/>
          <w:color w:val="000000"/>
          <w:sz w:val="28"/>
          <w:szCs w:val="28"/>
          <w:lang w:eastAsia="zh-CN"/>
        </w:rPr>
        <w:t>：</w:t>
      </w:r>
    </w:p>
    <w:sectPr>
      <w:footerReference r:id="rId4" w:type="default"/>
      <w:pgSz w:w="16838" w:h="11906" w:orient="landscape"/>
      <w:pgMar w:top="1701" w:right="1587" w:bottom="1417" w:left="1587"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仿宋_GB2312" w:cs="Times New Roman"/>
        <w:kern w:val="2"/>
        <w:sz w:val="18"/>
        <w:szCs w:val="24"/>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chineseCounting"/>
      <w:suff w:val="nothing"/>
      <w:lvlText w:val="%1、"/>
      <w:lvlJc w:val="left"/>
      <w:rPr>
        <w:rFonts w:hint="eastAsia"/>
      </w:rPr>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23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Address"/>
    <w:basedOn w:val="1"/>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2022-02-24T07:05:00Z</dcterms:created>
  <dc:creator>greatwall</dc:creator>
  <cp:lastModifiedBy>Administrator</cp:lastModifiedBy>
  <cp:lastPrinted>2022-02-28T19:03:15Z</cp:lastPrinted>
  <dcterms:modified xsi:type="dcterms:W3CDTF">2022-02-28T15:36:44Z</dcterms:modified>
  <dc:title>附件2</dc:title>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D477F0EEF1004262A1F52A7C94103B0D</vt:lpwstr>
  </property>
</Properties>
</file>