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0"/>
        </w:tabs>
        <w:rPr>
          <w:rFonts w:ascii="黑体"/>
          <w:sz w:val="50"/>
        </w:rPr>
      </w:pPr>
      <w:r>
        <w:rPr>
          <w:rFonts w:hint="eastAsia" w:ascii="黑体" w:hAnsi="Times New Roman" w:eastAsia="黑体" w:cs="Times New Roman"/>
          <w:color w:val="auto"/>
          <w:kern w:val="0"/>
          <w:sz w:val="30"/>
          <w:szCs w:val="30"/>
        </w:rPr>
        <w:t>附件1</w:t>
      </w:r>
    </w:p>
    <w:p>
      <w:pPr>
        <w:snapToGrid w:val="0"/>
        <w:jc w:val="center"/>
        <w:rPr>
          <w:rFonts w:ascii="方正小标宋简体" w:hAnsi="Times New Roman" w:eastAsia="方正小标宋简体" w:cs="Times New Roman"/>
          <w:color w:val="auto"/>
          <w:kern w:val="0"/>
          <w:sz w:val="44"/>
          <w:szCs w:val="44"/>
        </w:rPr>
      </w:pPr>
    </w:p>
    <w:p>
      <w:pPr>
        <w:snapToGrid w:val="0"/>
        <w:jc w:val="center"/>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2022年河南省普通高中招生考试方案</w:t>
      </w:r>
    </w:p>
    <w:tbl>
      <w:tblPr>
        <w:tblStyle w:val="3"/>
        <w:tblpPr w:leftFromText="180" w:rightFromText="180" w:vertAnchor="text" w:horzAnchor="page" w:tblpXSpec="center" w:tblpY="419"/>
        <w:tblOverlap w:val="never"/>
        <w:tblW w:w="89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90"/>
        <w:gridCol w:w="496"/>
        <w:gridCol w:w="1902"/>
        <w:gridCol w:w="1235"/>
        <w:gridCol w:w="1126"/>
        <w:gridCol w:w="708"/>
        <w:gridCol w:w="2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jc w:val="center"/>
        </w:trPr>
        <w:tc>
          <w:tcPr>
            <w:tcW w:w="1390"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日期</w:t>
            </w:r>
          </w:p>
        </w:tc>
        <w:tc>
          <w:tcPr>
            <w:tcW w:w="3633" w:type="dxa"/>
            <w:gridSpan w:val="3"/>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时间</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科目</w:t>
            </w:r>
          </w:p>
        </w:tc>
        <w:tc>
          <w:tcPr>
            <w:tcW w:w="708"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分值</w:t>
            </w:r>
          </w:p>
        </w:tc>
        <w:tc>
          <w:tcPr>
            <w:tcW w:w="2127"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jc w:val="center"/>
        </w:trPr>
        <w:tc>
          <w:tcPr>
            <w:tcW w:w="1390" w:type="dxa"/>
            <w:vMerge w:val="restart"/>
            <w:tcBorders>
              <w:bottom w:val="single" w:color="000000"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6月22日</w:t>
            </w:r>
          </w:p>
        </w:tc>
        <w:tc>
          <w:tcPr>
            <w:tcW w:w="496"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上午</w:t>
            </w: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8:20—10:20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语文</w:t>
            </w:r>
          </w:p>
        </w:tc>
        <w:tc>
          <w:tcPr>
            <w:tcW w:w="708"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w:t>
            </w:r>
          </w:p>
        </w:tc>
        <w:tc>
          <w:tcPr>
            <w:tcW w:w="2127"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4" w:hRule="atLeast"/>
          <w:jc w:val="center"/>
        </w:trPr>
        <w:tc>
          <w:tcPr>
            <w:tcW w:w="1390"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4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11:10—12:00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历史</w:t>
            </w:r>
          </w:p>
        </w:tc>
        <w:tc>
          <w:tcPr>
            <w:tcW w:w="708"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2127"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8"/>
                <w:sz w:val="28"/>
                <w:szCs w:val="28"/>
              </w:rPr>
              <w:t>开卷考试，考生可</w:t>
            </w:r>
            <w:r>
              <w:rPr>
                <w:rFonts w:hint="eastAsia" w:ascii="仿宋_GB2312" w:hAnsi="仿宋_GB2312" w:eastAsia="仿宋_GB2312" w:cs="仿宋_GB2312"/>
                <w:spacing w:val="-9"/>
                <w:sz w:val="28"/>
                <w:szCs w:val="28"/>
              </w:rPr>
              <w:t>自带参考资料。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4" w:hRule="atLeast"/>
          <w:jc w:val="center"/>
        </w:trPr>
        <w:tc>
          <w:tcPr>
            <w:tcW w:w="1390"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496"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下午</w:t>
            </w: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15:00—16:00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物理</w:t>
            </w:r>
          </w:p>
        </w:tc>
        <w:tc>
          <w:tcPr>
            <w:tcW w:w="708"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w:t>
            </w:r>
          </w:p>
        </w:tc>
        <w:tc>
          <w:tcPr>
            <w:tcW w:w="2127"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jc w:val="center"/>
        </w:trPr>
        <w:tc>
          <w:tcPr>
            <w:tcW w:w="1390"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4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16:50—17:40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化学</w:t>
            </w:r>
          </w:p>
        </w:tc>
        <w:tc>
          <w:tcPr>
            <w:tcW w:w="708"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2127"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4" w:hRule="atLeast"/>
          <w:jc w:val="center"/>
        </w:trPr>
        <w:tc>
          <w:tcPr>
            <w:tcW w:w="13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6月23日</w:t>
            </w:r>
          </w:p>
        </w:tc>
        <w:tc>
          <w:tcPr>
            <w:tcW w:w="496" w:type="dxa"/>
            <w:vMerge w:val="restart"/>
            <w:tcBorders>
              <w:left w:val="single" w:color="000000"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上午</w:t>
            </w: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8:20—10:00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w:t>
            </w:r>
          </w:p>
        </w:tc>
        <w:tc>
          <w:tcPr>
            <w:tcW w:w="708"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w:t>
            </w:r>
          </w:p>
        </w:tc>
        <w:tc>
          <w:tcPr>
            <w:tcW w:w="2127"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5" w:hRule="atLeast"/>
          <w:jc w:val="center"/>
        </w:trPr>
        <w:tc>
          <w:tcPr>
            <w:tcW w:w="139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496" w:type="dxa"/>
            <w:vMerge w:val="continue"/>
            <w:tcBorders>
              <w:top w:val="nil"/>
              <w:lef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10:50—11:50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道德与法治</w:t>
            </w:r>
          </w:p>
        </w:tc>
        <w:tc>
          <w:tcPr>
            <w:tcW w:w="708"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w:t>
            </w:r>
          </w:p>
        </w:tc>
        <w:tc>
          <w:tcPr>
            <w:tcW w:w="2127"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8"/>
                <w:sz w:val="28"/>
                <w:szCs w:val="28"/>
              </w:rPr>
              <w:t>开卷考试，考生可</w:t>
            </w:r>
            <w:r>
              <w:rPr>
                <w:rFonts w:hint="eastAsia" w:ascii="仿宋_GB2312" w:hAnsi="仿宋_GB2312" w:eastAsia="仿宋_GB2312" w:cs="仿宋_GB2312"/>
                <w:spacing w:val="-9"/>
                <w:sz w:val="28"/>
                <w:szCs w:val="28"/>
              </w:rPr>
              <w:t>自带参考资料。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73" w:hRule="atLeast"/>
          <w:jc w:val="center"/>
        </w:trPr>
        <w:tc>
          <w:tcPr>
            <w:tcW w:w="139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496" w:type="dxa"/>
            <w:tcBorders>
              <w:left w:val="single" w:color="000000"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下午</w:t>
            </w: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15:00—16:40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英语</w:t>
            </w:r>
          </w:p>
        </w:tc>
        <w:tc>
          <w:tcPr>
            <w:tcW w:w="708"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w:t>
            </w:r>
          </w:p>
        </w:tc>
        <w:tc>
          <w:tcPr>
            <w:tcW w:w="2127"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4"/>
                <w:sz w:val="28"/>
                <w:szCs w:val="28"/>
              </w:rPr>
              <w:t>笔试</w:t>
            </w:r>
            <w:r>
              <w:rPr>
                <w:rFonts w:hint="eastAsia" w:ascii="仿宋_GB2312" w:hAnsi="仿宋_GB2312" w:eastAsia="仿宋_GB2312" w:cs="仿宋_GB2312"/>
                <w:sz w:val="28"/>
                <w:szCs w:val="28"/>
              </w:rPr>
              <w:t>100</w:t>
            </w:r>
            <w:r>
              <w:rPr>
                <w:rFonts w:hint="eastAsia" w:ascii="仿宋_GB2312" w:hAnsi="仿宋_GB2312" w:eastAsia="仿宋_GB2312" w:cs="仿宋_GB2312"/>
                <w:spacing w:val="-41"/>
                <w:sz w:val="28"/>
                <w:szCs w:val="28"/>
              </w:rPr>
              <w:t>分，听力</w:t>
            </w:r>
          </w:p>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jc w:val="center"/>
        </w:trPr>
        <w:tc>
          <w:tcPr>
            <w:tcW w:w="1390" w:type="dxa"/>
            <w:vMerge w:val="restart"/>
            <w:tcBorders>
              <w:top w:val="single" w:color="000000"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6月24日</w:t>
            </w:r>
          </w:p>
        </w:tc>
        <w:tc>
          <w:tcPr>
            <w:tcW w:w="496"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上午</w:t>
            </w: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9:00-9:50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生物</w:t>
            </w:r>
          </w:p>
        </w:tc>
        <w:tc>
          <w:tcPr>
            <w:tcW w:w="2835" w:type="dxa"/>
            <w:gridSpan w:val="2"/>
            <w:vMerge w:val="restart"/>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卷面分值各为</w:t>
            </w:r>
            <w:r>
              <w:rPr>
                <w:rFonts w:hint="eastAsia" w:ascii="仿宋_GB2312" w:hAnsi="仿宋_GB2312" w:eastAsia="仿宋_GB2312" w:cs="仿宋_GB2312"/>
                <w:sz w:val="28"/>
                <w:szCs w:val="28"/>
              </w:rPr>
              <w:t>50</w:t>
            </w:r>
            <w:r>
              <w:rPr>
                <w:rFonts w:hint="eastAsia" w:ascii="仿宋_GB2312" w:hAnsi="仿宋_GB2312" w:eastAsia="仿宋_GB2312" w:cs="仿宋_GB2312"/>
                <w:spacing w:val="-35"/>
                <w:sz w:val="28"/>
                <w:szCs w:val="28"/>
              </w:rPr>
              <w:t>分</w:t>
            </w:r>
            <w:r>
              <w:rPr>
                <w:rFonts w:hint="eastAsia" w:ascii="仿宋_GB2312" w:hAnsi="仿宋_GB2312" w:eastAsia="仿宋_GB2312" w:cs="仿宋_GB2312"/>
                <w:spacing w:val="-35"/>
                <w:sz w:val="28"/>
                <w:szCs w:val="28"/>
                <w:lang w:eastAsia="zh-CN"/>
              </w:rPr>
              <w:t>，</w:t>
            </w:r>
            <w:r>
              <w:rPr>
                <w:rFonts w:hint="eastAsia" w:ascii="仿宋_GB2312" w:hAnsi="仿宋_GB2312" w:eastAsia="仿宋_GB2312" w:cs="仿宋_GB2312"/>
                <w:spacing w:val="-13"/>
                <w:sz w:val="28"/>
                <w:szCs w:val="28"/>
              </w:rPr>
              <w:t>考试对象为初中二年级</w:t>
            </w:r>
            <w:r>
              <w:rPr>
                <w:rFonts w:hint="eastAsia" w:ascii="仿宋_GB2312" w:hAnsi="仿宋_GB2312" w:eastAsia="仿宋_GB2312" w:cs="仿宋_GB2312"/>
                <w:spacing w:val="-17"/>
                <w:sz w:val="28"/>
                <w:szCs w:val="28"/>
              </w:rPr>
              <w:t>学生，成绩以等级呈现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6" w:hRule="atLeast"/>
          <w:jc w:val="center"/>
        </w:trPr>
        <w:tc>
          <w:tcPr>
            <w:tcW w:w="139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4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c>
          <w:tcPr>
            <w:tcW w:w="1902"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10:40-11:30</w:t>
            </w:r>
          </w:p>
        </w:tc>
        <w:tc>
          <w:tcPr>
            <w:tcW w:w="1235"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0分钟</w:t>
            </w:r>
          </w:p>
        </w:tc>
        <w:tc>
          <w:tcPr>
            <w:tcW w:w="1126" w:type="dxa"/>
            <w:vAlign w:val="center"/>
          </w:tcPr>
          <w:p>
            <w:pPr>
              <w:pStyle w:val="5"/>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地理</w:t>
            </w:r>
          </w:p>
        </w:tc>
        <w:tc>
          <w:tcPr>
            <w:tcW w:w="2835"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firstLine="0"/>
              <w:jc w:val="center"/>
              <w:textAlignment w:val="auto"/>
              <w:rPr>
                <w:rFonts w:hint="eastAsia" w:ascii="仿宋_GB2312" w:hAnsi="仿宋_GB2312" w:eastAsia="仿宋_GB2312" w:cs="仿宋_GB2312"/>
                <w:sz w:val="28"/>
                <w:szCs w:val="28"/>
              </w:rPr>
            </w:pPr>
          </w:p>
        </w:tc>
      </w:tr>
    </w:tbl>
    <w:p>
      <w:pPr>
        <w:snapToGrid w:val="0"/>
        <w:ind w:firstLine="225"/>
        <w:jc w:val="center"/>
        <w:rPr>
          <w:rFonts w:ascii="方正小标宋简体" w:hAnsi="Times New Roman" w:eastAsia="方正小标宋简体" w:cs="Times New Roman"/>
          <w:color w:val="auto"/>
          <w:kern w:val="0"/>
          <w:sz w:val="10"/>
          <w:szCs w:val="10"/>
        </w:rPr>
      </w:pPr>
    </w:p>
    <w:p>
      <w:pPr>
        <w:ind w:firstLine="625"/>
        <w:rPr>
          <w:rFonts w:ascii="Times New Roman" w:hAnsi="Times New Roman"/>
          <w:color w:val="auto"/>
        </w:rPr>
        <w:sectPr>
          <w:footerReference r:id="rId3" w:type="default"/>
          <w:pgSz w:w="11906" w:h="16838"/>
          <w:pgMar w:top="2098" w:right="1474" w:bottom="1984" w:left="1587" w:header="0" w:footer="1814" w:gutter="0"/>
          <w:pgNumType w:fmt="numberInDash"/>
          <w:cols w:space="720" w:num="1"/>
          <w:docGrid w:type="linesAndChars" w:linePitch="587" w:charSpace="1587"/>
        </w:sectPr>
      </w:pPr>
    </w:p>
    <w:p>
      <w:pPr>
        <w:rPr>
          <w:rFonts w:hint="eastAsia" w:ascii="黑体" w:hAnsi="黑体" w:eastAsia="黑体" w:cs="Times New Roman"/>
          <w:color w:val="auto"/>
          <w:kern w:val="0"/>
          <w:sz w:val="30"/>
          <w:szCs w:val="30"/>
        </w:rPr>
      </w:pPr>
      <w:r>
        <w:rPr>
          <w:rFonts w:hint="eastAsia" w:ascii="黑体" w:hAnsi="黑体" w:eastAsia="黑体" w:cs="Times New Roman"/>
          <w:color w:val="auto"/>
          <w:kern w:val="0"/>
          <w:sz w:val="30"/>
          <w:szCs w:val="30"/>
        </w:rPr>
        <w:t>附件</w:t>
      </w:r>
      <w:r>
        <w:rPr>
          <w:rFonts w:ascii="黑体" w:hAnsi="黑体" w:eastAsia="黑体" w:cs="Times New Roman"/>
          <w:color w:val="auto"/>
          <w:kern w:val="0"/>
          <w:sz w:val="30"/>
          <w:szCs w:val="30"/>
        </w:rPr>
        <w:t>2</w:t>
      </w:r>
    </w:p>
    <w:p>
      <w:pPr>
        <w:ind w:firstLine="600"/>
        <w:rPr>
          <w:rFonts w:hint="eastAsia" w:ascii="黑体" w:hAnsi="黑体" w:eastAsia="黑体" w:cs="Times New Roman"/>
          <w:color w:val="auto"/>
          <w:kern w:val="0"/>
          <w:sz w:val="30"/>
          <w:szCs w:val="30"/>
        </w:rPr>
      </w:pPr>
    </w:p>
    <w:p>
      <w:pPr>
        <w:snapToGrid w:val="0"/>
        <w:jc w:val="center"/>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河南省中招政策性加分对象和标准</w:t>
      </w:r>
    </w:p>
    <w:p>
      <w:pPr>
        <w:ind w:firstLine="614" w:firstLineChars="200"/>
        <w:rPr>
          <w:rFonts w:ascii="仿宋_GB2312" w:hAnsi="Times New Roman" w:eastAsia="仿宋_GB2312" w:cs="Times New Roman"/>
          <w:color w:val="auto"/>
          <w:kern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ascii="仿宋_GB2312" w:hAnsi="Times New Roman" w:eastAsia="仿宋_GB2312" w:cs="Times New Roman"/>
          <w:color w:val="auto"/>
          <w:kern w:val="0"/>
          <w:sz w:val="32"/>
          <w:szCs w:val="32"/>
        </w:rPr>
      </w:pPr>
      <w:r>
        <w:rPr>
          <w:rFonts w:ascii="仿宋_GB2312" w:hAnsi="Times New Roman" w:eastAsia="仿宋_GB2312" w:cs="Times New Roman"/>
          <w:color w:val="auto"/>
          <w:kern w:val="0"/>
          <w:sz w:val="32"/>
          <w:szCs w:val="32"/>
        </w:rPr>
        <w:t>1.</w:t>
      </w:r>
      <w:r>
        <w:rPr>
          <w:rFonts w:hint="eastAsia" w:ascii="仿宋_GB2312" w:hAnsi="Times New Roman" w:eastAsia="仿宋_GB2312" w:cs="Times New Roman"/>
          <w:color w:val="auto"/>
          <w:kern w:val="0"/>
          <w:sz w:val="32"/>
          <w:szCs w:val="32"/>
        </w:rPr>
        <w:t>根据《河南省公安英烈和因公牺牲伤残公安民警子女教育优待工作实施细则》（豫公通〔</w:t>
      </w:r>
      <w:r>
        <w:rPr>
          <w:rFonts w:ascii="仿宋_GB2312" w:hAnsi="Times New Roman" w:eastAsia="仿宋_GB2312" w:cs="Times New Roman"/>
          <w:color w:val="auto"/>
          <w:kern w:val="0"/>
          <w:sz w:val="32"/>
          <w:szCs w:val="32"/>
        </w:rPr>
        <w:t>2018</w:t>
      </w:r>
      <w:r>
        <w:rPr>
          <w:rFonts w:hint="eastAsia" w:ascii="仿宋_GB2312" w:hAnsi="Times New Roman" w:eastAsia="仿宋_GB2312" w:cs="Times New Roman"/>
          <w:color w:val="auto"/>
          <w:kern w:val="0"/>
          <w:sz w:val="32"/>
          <w:szCs w:val="32"/>
        </w:rPr>
        <w:t>〕</w:t>
      </w:r>
      <w:r>
        <w:rPr>
          <w:rFonts w:ascii="仿宋_GB2312" w:hAnsi="Times New Roman" w:eastAsia="仿宋_GB2312" w:cs="Times New Roman"/>
          <w:color w:val="auto"/>
          <w:kern w:val="0"/>
          <w:sz w:val="32"/>
          <w:szCs w:val="32"/>
        </w:rPr>
        <w:t>66</w:t>
      </w:r>
      <w:r>
        <w:rPr>
          <w:rFonts w:hint="eastAsia" w:ascii="仿宋_GB2312" w:hAnsi="Times New Roman" w:eastAsia="仿宋_GB2312" w:cs="Times New Roman"/>
          <w:color w:val="auto"/>
          <w:kern w:val="0"/>
          <w:sz w:val="32"/>
          <w:szCs w:val="32"/>
        </w:rPr>
        <w:t>号），公安烈士、公安英模子女，按照录取分值</w:t>
      </w:r>
      <w:r>
        <w:rPr>
          <w:rFonts w:ascii="仿宋_GB2312" w:hAnsi="Times New Roman" w:eastAsia="仿宋_GB2312" w:cs="Times New Roman"/>
          <w:color w:val="auto"/>
          <w:kern w:val="0"/>
          <w:sz w:val="32"/>
          <w:szCs w:val="32"/>
        </w:rPr>
        <w:t>10%</w:t>
      </w:r>
      <w:r>
        <w:rPr>
          <w:rFonts w:hint="eastAsia" w:ascii="仿宋_GB2312" w:hAnsi="Times New Roman" w:eastAsia="仿宋_GB2312" w:cs="Times New Roman"/>
          <w:color w:val="auto"/>
          <w:kern w:val="0"/>
          <w:sz w:val="32"/>
          <w:szCs w:val="32"/>
        </w:rPr>
        <w:t>的标准，降低分数优先录取；因公牺牲、一级至四级因公伤残公安民警子女，按照录取分值</w:t>
      </w:r>
      <w:r>
        <w:rPr>
          <w:rFonts w:ascii="仿宋_GB2312" w:hAnsi="Times New Roman" w:eastAsia="仿宋_GB2312" w:cs="Times New Roman"/>
          <w:color w:val="auto"/>
          <w:kern w:val="0"/>
          <w:sz w:val="32"/>
          <w:szCs w:val="32"/>
        </w:rPr>
        <w:t>5%</w:t>
      </w:r>
      <w:r>
        <w:rPr>
          <w:rFonts w:hint="eastAsia" w:ascii="仿宋_GB2312" w:hAnsi="Times New Roman" w:eastAsia="仿宋_GB2312" w:cs="Times New Roman"/>
          <w:color w:val="auto"/>
          <w:kern w:val="0"/>
          <w:sz w:val="32"/>
          <w:szCs w:val="32"/>
        </w:rPr>
        <w:t>的标准，降低分数优先录取。</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ascii="仿宋_GB2312" w:hAnsi="Times New Roman" w:eastAsia="仿宋_GB2312" w:cs="Times New Roman"/>
          <w:color w:val="auto"/>
          <w:kern w:val="0"/>
          <w:sz w:val="32"/>
          <w:szCs w:val="32"/>
        </w:rPr>
      </w:pPr>
      <w:r>
        <w:rPr>
          <w:rFonts w:ascii="仿宋_GB2312" w:hAnsi="Times New Roman" w:eastAsia="仿宋_GB2312" w:cs="Times New Roman"/>
          <w:color w:val="auto"/>
          <w:kern w:val="0"/>
          <w:sz w:val="32"/>
          <w:szCs w:val="32"/>
        </w:rPr>
        <w:t>2.</w:t>
      </w:r>
      <w:r>
        <w:rPr>
          <w:rFonts w:hint="eastAsia" w:ascii="仿宋_GB2312" w:hAnsi="Times New Roman" w:eastAsia="仿宋_GB2312" w:cs="Times New Roman"/>
          <w:color w:val="auto"/>
          <w:kern w:val="0"/>
          <w:sz w:val="32"/>
          <w:szCs w:val="32"/>
        </w:rPr>
        <w:t>根据《河南省实施〈中华人民共和国归侨侨眷权益保护法〉办法》和《河南省实施〈中华人民共和国台湾同胞投资保护法〉办法》，归侨、侨眷考生照顾</w:t>
      </w:r>
      <w:r>
        <w:rPr>
          <w:rFonts w:ascii="仿宋_GB2312" w:hAnsi="Times New Roman" w:eastAsia="仿宋_GB2312" w:cs="Times New Roman"/>
          <w:color w:val="auto"/>
          <w:kern w:val="0"/>
          <w:sz w:val="32"/>
          <w:szCs w:val="32"/>
        </w:rPr>
        <w:t>10</w:t>
      </w:r>
      <w:r>
        <w:rPr>
          <w:rFonts w:hint="eastAsia" w:ascii="仿宋_GB2312" w:hAnsi="Times New Roman" w:eastAsia="仿宋_GB2312" w:cs="Times New Roman"/>
          <w:color w:val="auto"/>
          <w:kern w:val="0"/>
          <w:sz w:val="32"/>
          <w:szCs w:val="32"/>
        </w:rPr>
        <w:t>分录取，台湾同胞投资者及随行眷属、所聘台湾管理人员凭《台湾同胞投资证书》，其子女报考普通高中的，照顾</w:t>
      </w:r>
      <w:r>
        <w:rPr>
          <w:rFonts w:ascii="仿宋_GB2312" w:hAnsi="Times New Roman" w:eastAsia="仿宋_GB2312" w:cs="Times New Roman"/>
          <w:color w:val="auto"/>
          <w:kern w:val="0"/>
          <w:sz w:val="32"/>
          <w:szCs w:val="32"/>
        </w:rPr>
        <w:t>10</w:t>
      </w:r>
      <w:r>
        <w:rPr>
          <w:rFonts w:hint="eastAsia" w:ascii="仿宋_GB2312" w:hAnsi="Times New Roman" w:eastAsia="仿宋_GB2312" w:cs="Times New Roman"/>
          <w:color w:val="auto"/>
          <w:kern w:val="0"/>
          <w:sz w:val="32"/>
          <w:szCs w:val="32"/>
        </w:rPr>
        <w:t>分。</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ascii="仿宋_GB2312" w:hAnsi="Times New Roman" w:eastAsia="仿宋_GB2312" w:cs="Times New Roman"/>
          <w:color w:val="auto"/>
          <w:kern w:val="0"/>
          <w:sz w:val="32"/>
          <w:szCs w:val="32"/>
        </w:rPr>
      </w:pPr>
      <w:r>
        <w:rPr>
          <w:rFonts w:ascii="仿宋_GB2312" w:hAnsi="Times New Roman" w:eastAsia="仿宋_GB2312" w:cs="Times New Roman"/>
          <w:color w:val="auto"/>
          <w:kern w:val="0"/>
          <w:sz w:val="32"/>
          <w:szCs w:val="32"/>
        </w:rPr>
        <w:t>3.</w:t>
      </w:r>
      <w:r>
        <w:rPr>
          <w:rFonts w:hint="eastAsia" w:ascii="仿宋_GB2312" w:hAnsi="Times New Roman" w:eastAsia="仿宋_GB2312" w:cs="Times New Roman"/>
          <w:color w:val="auto"/>
          <w:kern w:val="0"/>
          <w:sz w:val="32"/>
          <w:szCs w:val="32"/>
        </w:rPr>
        <w:t>根据中共河南省委、河南省人民政府《关于贯彻中发〔</w:t>
      </w:r>
      <w:r>
        <w:rPr>
          <w:rFonts w:ascii="仿宋_GB2312" w:hAnsi="Times New Roman" w:eastAsia="仿宋_GB2312" w:cs="Times New Roman"/>
          <w:color w:val="auto"/>
          <w:kern w:val="0"/>
          <w:sz w:val="32"/>
          <w:szCs w:val="32"/>
        </w:rPr>
        <w:t>2006</w:t>
      </w:r>
      <w:r>
        <w:rPr>
          <w:rFonts w:hint="eastAsia" w:ascii="仿宋_GB2312" w:hAnsi="Times New Roman" w:eastAsia="仿宋_GB2312" w:cs="Times New Roman"/>
          <w:color w:val="auto"/>
          <w:kern w:val="0"/>
          <w:sz w:val="32"/>
          <w:szCs w:val="32"/>
        </w:rPr>
        <w:t>〕</w:t>
      </w:r>
      <w:r>
        <w:rPr>
          <w:rFonts w:ascii="仿宋_GB2312" w:hAnsi="Times New Roman" w:eastAsia="仿宋_GB2312" w:cs="Times New Roman"/>
          <w:color w:val="auto"/>
          <w:kern w:val="0"/>
          <w:sz w:val="32"/>
          <w:szCs w:val="32"/>
        </w:rPr>
        <w:t>22</w:t>
      </w:r>
      <w:r>
        <w:rPr>
          <w:rFonts w:hint="eastAsia" w:ascii="仿宋_GB2312" w:hAnsi="Times New Roman" w:eastAsia="仿宋_GB2312" w:cs="Times New Roman"/>
          <w:color w:val="auto"/>
          <w:kern w:val="0"/>
          <w:sz w:val="32"/>
          <w:szCs w:val="32"/>
        </w:rPr>
        <w:t>号文件精神，全面加强人口和计划生育工作，统筹解决人口问题的意见》（豫发〔</w:t>
      </w:r>
      <w:r>
        <w:rPr>
          <w:rFonts w:ascii="仿宋_GB2312" w:hAnsi="Times New Roman" w:eastAsia="仿宋_GB2312" w:cs="Times New Roman"/>
          <w:color w:val="auto"/>
          <w:kern w:val="0"/>
          <w:sz w:val="32"/>
          <w:szCs w:val="32"/>
        </w:rPr>
        <w:t>2007</w:t>
      </w:r>
      <w:r>
        <w:rPr>
          <w:rFonts w:hint="eastAsia" w:ascii="仿宋_GB2312" w:hAnsi="Times New Roman" w:eastAsia="仿宋_GB2312" w:cs="Times New Roman"/>
          <w:color w:val="auto"/>
          <w:kern w:val="0"/>
          <w:sz w:val="32"/>
          <w:szCs w:val="32"/>
        </w:rPr>
        <w:t>〕</w:t>
      </w:r>
      <w:r>
        <w:rPr>
          <w:rFonts w:ascii="仿宋_GB2312" w:hAnsi="Times New Roman" w:eastAsia="仿宋_GB2312" w:cs="Times New Roman"/>
          <w:color w:val="auto"/>
          <w:kern w:val="0"/>
          <w:sz w:val="32"/>
          <w:szCs w:val="32"/>
        </w:rPr>
        <w:t>7</w:t>
      </w:r>
      <w:r>
        <w:rPr>
          <w:rFonts w:hint="eastAsia" w:ascii="仿宋_GB2312" w:hAnsi="Times New Roman" w:eastAsia="仿宋_GB2312" w:cs="Times New Roman"/>
          <w:color w:val="auto"/>
          <w:kern w:val="0"/>
          <w:sz w:val="32"/>
          <w:szCs w:val="32"/>
        </w:rPr>
        <w:t>号）精神，对农村独生子女家庭和计划生育双女家庭，其子女报考本县（市、区）高中的，照顾</w:t>
      </w:r>
      <w:r>
        <w:rPr>
          <w:rFonts w:ascii="仿宋_GB2312" w:hAnsi="Times New Roman" w:eastAsia="仿宋_GB2312" w:cs="Times New Roman"/>
          <w:color w:val="auto"/>
          <w:kern w:val="0"/>
          <w:sz w:val="32"/>
          <w:szCs w:val="32"/>
        </w:rPr>
        <w:t>10</w:t>
      </w:r>
      <w:r>
        <w:rPr>
          <w:rFonts w:hint="eastAsia" w:ascii="仿宋_GB2312" w:hAnsi="Times New Roman" w:eastAsia="仿宋_GB2312" w:cs="Times New Roman"/>
          <w:color w:val="auto"/>
          <w:kern w:val="0"/>
          <w:sz w:val="32"/>
          <w:szCs w:val="32"/>
        </w:rPr>
        <w:t>分。</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ascii="仿宋_GB2312" w:hAnsi="Times New Roman" w:eastAsia="仿宋_GB2312" w:cs="Times New Roman"/>
          <w:color w:val="auto"/>
          <w:kern w:val="0"/>
          <w:sz w:val="32"/>
          <w:szCs w:val="32"/>
        </w:rPr>
      </w:pPr>
      <w:r>
        <w:rPr>
          <w:rFonts w:ascii="仿宋_GB2312" w:hAnsi="Times New Roman" w:eastAsia="仿宋_GB2312" w:cs="Times New Roman"/>
          <w:color w:val="auto"/>
          <w:kern w:val="0"/>
          <w:sz w:val="32"/>
          <w:szCs w:val="32"/>
        </w:rPr>
        <w:t>4.</w:t>
      </w:r>
      <w:r>
        <w:rPr>
          <w:rFonts w:hint="eastAsia" w:ascii="仿宋_GB2312" w:hAnsi="Times New Roman" w:eastAsia="仿宋_GB2312" w:cs="Times New Roman"/>
          <w:color w:val="auto"/>
          <w:kern w:val="0"/>
          <w:sz w:val="32"/>
          <w:szCs w:val="32"/>
        </w:rPr>
        <w:t>根据省教育厅《关于对艾滋病防治帮扶工作队员子女入学给予适当照顾的通知》（豫教基〔</w:t>
      </w:r>
      <w:r>
        <w:rPr>
          <w:rFonts w:ascii="仿宋_GB2312" w:hAnsi="Times New Roman" w:eastAsia="仿宋_GB2312" w:cs="Times New Roman"/>
          <w:color w:val="auto"/>
          <w:kern w:val="0"/>
          <w:sz w:val="32"/>
          <w:szCs w:val="32"/>
        </w:rPr>
        <w:t>2004</w:t>
      </w:r>
      <w:r>
        <w:rPr>
          <w:rFonts w:hint="eastAsia" w:ascii="仿宋_GB2312" w:hAnsi="Times New Roman" w:eastAsia="仿宋_GB2312" w:cs="Times New Roman"/>
          <w:color w:val="auto"/>
          <w:kern w:val="0"/>
          <w:sz w:val="32"/>
          <w:szCs w:val="32"/>
        </w:rPr>
        <w:t>〕</w:t>
      </w:r>
      <w:r>
        <w:rPr>
          <w:rFonts w:ascii="仿宋_GB2312" w:hAnsi="Times New Roman" w:eastAsia="仿宋_GB2312" w:cs="Times New Roman"/>
          <w:color w:val="auto"/>
          <w:kern w:val="0"/>
          <w:sz w:val="32"/>
          <w:szCs w:val="32"/>
        </w:rPr>
        <w:t>69</w:t>
      </w:r>
      <w:r>
        <w:rPr>
          <w:rFonts w:hint="eastAsia" w:ascii="仿宋_GB2312" w:hAnsi="Times New Roman" w:eastAsia="仿宋_GB2312" w:cs="Times New Roman"/>
          <w:color w:val="auto"/>
          <w:kern w:val="0"/>
          <w:sz w:val="32"/>
          <w:szCs w:val="32"/>
        </w:rPr>
        <w:t>号）精神，派驻各地进行艾滋病防治帮扶工作队员的子女，报考当地普通高中的可照顾</w:t>
      </w:r>
      <w:r>
        <w:rPr>
          <w:rFonts w:ascii="仿宋_GB2312" w:hAnsi="Times New Roman" w:eastAsia="仿宋_GB2312" w:cs="Times New Roman"/>
          <w:color w:val="auto"/>
          <w:kern w:val="0"/>
          <w:sz w:val="32"/>
          <w:szCs w:val="32"/>
        </w:rPr>
        <w:t>10</w:t>
      </w:r>
      <w:r>
        <w:rPr>
          <w:rFonts w:hint="eastAsia" w:ascii="仿宋_GB2312" w:hAnsi="Times New Roman" w:eastAsia="仿宋_GB2312" w:cs="Times New Roman"/>
          <w:color w:val="auto"/>
          <w:kern w:val="0"/>
          <w:sz w:val="32"/>
          <w:szCs w:val="32"/>
        </w:rPr>
        <w:t>分。</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ascii="仿宋_GB2312" w:hAnsi="Times New Roman" w:eastAsia="仿宋_GB2312" w:cs="Times New Roman"/>
          <w:color w:val="auto"/>
          <w:kern w:val="0"/>
          <w:sz w:val="32"/>
          <w:szCs w:val="32"/>
        </w:rPr>
      </w:pPr>
      <w:r>
        <w:rPr>
          <w:rFonts w:ascii="仿宋_GB2312" w:hAnsi="Times New Roman" w:eastAsia="仿宋_GB2312" w:cs="Times New Roman"/>
          <w:color w:val="auto"/>
          <w:kern w:val="0"/>
          <w:sz w:val="32"/>
          <w:szCs w:val="32"/>
        </w:rPr>
        <w:t>5.</w:t>
      </w:r>
      <w:r>
        <w:rPr>
          <w:rFonts w:hint="eastAsia" w:ascii="仿宋_GB2312" w:hAnsi="Times New Roman" w:eastAsia="仿宋_GB2312" w:cs="Times New Roman"/>
          <w:color w:val="auto"/>
          <w:kern w:val="0"/>
          <w:sz w:val="32"/>
          <w:szCs w:val="32"/>
        </w:rPr>
        <w:t>根据《</w:t>
      </w:r>
      <w:r>
        <w:rPr>
          <w:rFonts w:hint="eastAsia" w:ascii="仿宋_GB2312" w:hAnsi="Times New Roman" w:eastAsia="仿宋_GB2312" w:cs="Times New Roman"/>
          <w:bCs/>
          <w:color w:val="auto"/>
          <w:kern w:val="0"/>
          <w:sz w:val="32"/>
          <w:szCs w:val="32"/>
        </w:rPr>
        <w:t>河南省少数民族权益保障条例</w:t>
      </w:r>
      <w:r>
        <w:rPr>
          <w:rFonts w:hint="eastAsia" w:ascii="仿宋_GB2312" w:hAnsi="Times New Roman" w:eastAsia="仿宋_GB2312" w:cs="Times New Roman"/>
          <w:color w:val="auto"/>
          <w:kern w:val="0"/>
          <w:sz w:val="32"/>
          <w:szCs w:val="32"/>
        </w:rPr>
        <w:t>》，少数民族考生报考少数民族学校的，照顾</w:t>
      </w:r>
      <w:r>
        <w:rPr>
          <w:rFonts w:ascii="仿宋_GB2312" w:hAnsi="Times New Roman" w:eastAsia="仿宋_GB2312" w:cs="Times New Roman"/>
          <w:color w:val="auto"/>
          <w:kern w:val="0"/>
          <w:sz w:val="32"/>
          <w:szCs w:val="32"/>
        </w:rPr>
        <w:t>10</w:t>
      </w:r>
      <w:r>
        <w:rPr>
          <w:rFonts w:hint="eastAsia" w:ascii="仿宋_GB2312" w:hAnsi="Times New Roman" w:eastAsia="仿宋_GB2312" w:cs="Times New Roman"/>
          <w:color w:val="auto"/>
          <w:kern w:val="0"/>
          <w:sz w:val="32"/>
          <w:szCs w:val="32"/>
        </w:rPr>
        <w:t>分；报考其它学校的，照顾</w:t>
      </w:r>
      <w:r>
        <w:rPr>
          <w:rFonts w:ascii="仿宋_GB2312" w:hAnsi="Times New Roman" w:eastAsia="仿宋_GB2312" w:cs="Times New Roman"/>
          <w:color w:val="auto"/>
          <w:kern w:val="0"/>
          <w:sz w:val="32"/>
          <w:szCs w:val="32"/>
        </w:rPr>
        <w:t>5</w:t>
      </w:r>
      <w:r>
        <w:rPr>
          <w:rFonts w:hint="eastAsia" w:ascii="仿宋_GB2312" w:hAnsi="Times New Roman" w:eastAsia="仿宋_GB2312" w:cs="Times New Roman"/>
          <w:color w:val="auto"/>
          <w:kern w:val="0"/>
          <w:sz w:val="32"/>
          <w:szCs w:val="32"/>
        </w:rPr>
        <w:t>分。</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ascii="仿宋_GB2312" w:hAnsi="Times New Roman" w:eastAsia="仿宋_GB2312" w:cs="Times New Roman"/>
          <w:color w:val="auto"/>
          <w:kern w:val="0"/>
          <w:sz w:val="32"/>
          <w:szCs w:val="32"/>
        </w:rPr>
      </w:pPr>
      <w:r>
        <w:rPr>
          <w:rFonts w:ascii="仿宋_GB2312" w:hAnsi="Times New Roman" w:eastAsia="仿宋_GB2312" w:cs="Times New Roman"/>
          <w:color w:val="auto"/>
          <w:kern w:val="0"/>
          <w:sz w:val="32"/>
          <w:szCs w:val="32"/>
        </w:rPr>
        <w:t>6.</w:t>
      </w:r>
      <w:r>
        <w:rPr>
          <w:rFonts w:hint="eastAsia" w:ascii="仿宋_GB2312" w:hAnsi="Times New Roman" w:eastAsia="仿宋_GB2312" w:cs="Times New Roman"/>
          <w:color w:val="auto"/>
          <w:kern w:val="0"/>
          <w:sz w:val="32"/>
          <w:szCs w:val="32"/>
        </w:rPr>
        <w:t>军人子女考生加分按照河南省教育厅、河南省军区政治部印发的《河南省</w:t>
      </w:r>
      <w:r>
        <w:rPr>
          <w:rFonts w:hint="eastAsia" w:ascii="仿宋_GB2312" w:hAnsi="Times New Roman" w:eastAsia="仿宋_GB2312" w:cs="Times New Roman"/>
          <w:color w:val="auto"/>
          <w:kern w:val="0"/>
          <w:sz w:val="32"/>
          <w:szCs w:val="32"/>
          <w:lang w:eastAsia="zh-CN"/>
        </w:rPr>
        <w:t>〈</w:t>
      </w:r>
      <w:r>
        <w:rPr>
          <w:rFonts w:hint="eastAsia" w:ascii="仿宋_GB2312" w:hAnsi="Times New Roman" w:eastAsia="仿宋_GB2312" w:cs="Times New Roman"/>
          <w:color w:val="auto"/>
          <w:kern w:val="0"/>
          <w:sz w:val="32"/>
          <w:szCs w:val="32"/>
        </w:rPr>
        <w:t>军人子女教育优待办法</w:t>
      </w:r>
      <w:r>
        <w:rPr>
          <w:rFonts w:hint="eastAsia" w:ascii="仿宋_GB2312" w:hAnsi="Times New Roman" w:eastAsia="仿宋_GB2312" w:cs="Times New Roman"/>
          <w:color w:val="auto"/>
          <w:kern w:val="0"/>
          <w:sz w:val="32"/>
          <w:szCs w:val="32"/>
          <w:lang w:eastAsia="zh-CN"/>
        </w:rPr>
        <w:t>〉</w:t>
      </w:r>
      <w:r>
        <w:rPr>
          <w:rFonts w:hint="eastAsia" w:ascii="仿宋_GB2312" w:hAnsi="Times New Roman" w:eastAsia="仿宋_GB2312" w:cs="Times New Roman"/>
          <w:color w:val="auto"/>
          <w:kern w:val="0"/>
          <w:sz w:val="32"/>
          <w:szCs w:val="32"/>
        </w:rPr>
        <w:t>实施细则》（政联〔</w:t>
      </w:r>
      <w:r>
        <w:rPr>
          <w:rFonts w:ascii="仿宋_GB2312" w:hAnsi="Times New Roman" w:eastAsia="仿宋_GB2312" w:cs="Times New Roman"/>
          <w:color w:val="auto"/>
          <w:kern w:val="0"/>
          <w:sz w:val="32"/>
          <w:szCs w:val="32"/>
        </w:rPr>
        <w:t>2012</w:t>
      </w:r>
      <w:r>
        <w:rPr>
          <w:rFonts w:hint="eastAsia" w:ascii="仿宋_GB2312" w:hAnsi="Times New Roman" w:eastAsia="仿宋_GB2312" w:cs="Times New Roman"/>
          <w:color w:val="auto"/>
          <w:kern w:val="0"/>
          <w:sz w:val="32"/>
          <w:szCs w:val="32"/>
        </w:rPr>
        <w:t>〕</w:t>
      </w:r>
      <w:r>
        <w:rPr>
          <w:rFonts w:ascii="仿宋_GB2312" w:hAnsi="Times New Roman" w:eastAsia="仿宋_GB2312" w:cs="Times New Roman"/>
          <w:color w:val="auto"/>
          <w:kern w:val="0"/>
          <w:sz w:val="32"/>
          <w:szCs w:val="32"/>
        </w:rPr>
        <w:t>1</w:t>
      </w:r>
      <w:r>
        <w:rPr>
          <w:rFonts w:hint="eastAsia" w:ascii="仿宋_GB2312" w:hAnsi="Times New Roman" w:eastAsia="仿宋_GB2312" w:cs="Times New Roman"/>
          <w:color w:val="auto"/>
          <w:kern w:val="0"/>
          <w:sz w:val="32"/>
          <w:szCs w:val="32"/>
        </w:rPr>
        <w:t>号）和《关于进一步明确军人子女中招优待政策的通知》（豫政联〔</w:t>
      </w:r>
      <w:r>
        <w:rPr>
          <w:rFonts w:ascii="仿宋_GB2312" w:hAnsi="Times New Roman" w:eastAsia="仿宋_GB2312" w:cs="Times New Roman"/>
          <w:color w:val="auto"/>
          <w:kern w:val="0"/>
          <w:sz w:val="32"/>
          <w:szCs w:val="32"/>
        </w:rPr>
        <w:t>201</w:t>
      </w:r>
      <w:r>
        <w:rPr>
          <w:rFonts w:hint="eastAsia" w:ascii="仿宋_GB2312" w:hAnsi="Times New Roman" w:eastAsia="仿宋_GB2312" w:cs="Times New Roman"/>
          <w:color w:val="auto"/>
          <w:kern w:val="0"/>
          <w:sz w:val="32"/>
          <w:szCs w:val="32"/>
        </w:rPr>
        <w:t>9〕2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一级至四级残疾退役军人子女教育优待按照民政部、教育部、总政治部关于印发《优抚对象及其子女教育优待暂行办法》的通知（民发〔20</w:t>
      </w:r>
      <w:r>
        <w:rPr>
          <w:rFonts w:ascii="仿宋_GB2312" w:hAnsi="Times New Roman" w:eastAsia="仿宋_GB2312" w:cs="Times New Roman"/>
          <w:color w:val="auto"/>
          <w:kern w:val="0"/>
          <w:sz w:val="32"/>
          <w:szCs w:val="32"/>
        </w:rPr>
        <w:t>04</w:t>
      </w:r>
      <w:r>
        <w:rPr>
          <w:rFonts w:hint="eastAsia" w:ascii="仿宋_GB2312" w:hAnsi="Times New Roman" w:eastAsia="仿宋_GB2312" w:cs="Times New Roman"/>
          <w:color w:val="auto"/>
          <w:kern w:val="0"/>
          <w:sz w:val="32"/>
          <w:szCs w:val="32"/>
        </w:rPr>
        <w:t>〕第192号）要求执行。</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ascii="仿宋_GB2312" w:hAnsi="Times New Roman" w:eastAsia="仿宋_GB2312" w:cs="Times New Roman"/>
          <w:color w:val="auto"/>
          <w:kern w:val="0"/>
          <w:sz w:val="32"/>
          <w:szCs w:val="32"/>
        </w:rPr>
      </w:pPr>
      <w:r>
        <w:rPr>
          <w:rFonts w:ascii="仿宋_GB2312" w:hAnsi="Times New Roman" w:eastAsia="仿宋_GB2312" w:cs="Times New Roman"/>
          <w:color w:val="auto"/>
          <w:kern w:val="0"/>
          <w:sz w:val="32"/>
          <w:szCs w:val="32"/>
        </w:rPr>
        <w:t>7.</w:t>
      </w:r>
      <w:r>
        <w:rPr>
          <w:rFonts w:hint="eastAsia" w:ascii="仿宋_GB2312" w:hAnsi="Times New Roman" w:eastAsia="仿宋_GB2312" w:cs="Times New Roman"/>
          <w:color w:val="auto"/>
          <w:kern w:val="0"/>
          <w:sz w:val="32"/>
          <w:szCs w:val="32"/>
        </w:rPr>
        <w:t>获得见义勇为荣誉称号人员及其子女加分按照《河南省人民政府办公厅转发省民政厅等部门关于加强见义勇为人员权益保护工作意见的通知》（豫政办〔</w:t>
      </w:r>
      <w:r>
        <w:rPr>
          <w:rFonts w:ascii="仿宋_GB2312" w:hAnsi="Times New Roman" w:eastAsia="仿宋_GB2312" w:cs="Times New Roman"/>
          <w:color w:val="auto"/>
          <w:kern w:val="0"/>
          <w:sz w:val="32"/>
          <w:szCs w:val="32"/>
        </w:rPr>
        <w:t>2013</w:t>
      </w:r>
      <w:r>
        <w:rPr>
          <w:rFonts w:hint="eastAsia" w:ascii="仿宋_GB2312" w:hAnsi="Times New Roman" w:eastAsia="仿宋_GB2312" w:cs="Times New Roman"/>
          <w:color w:val="auto"/>
          <w:kern w:val="0"/>
          <w:sz w:val="32"/>
          <w:szCs w:val="32"/>
        </w:rPr>
        <w:t>〕</w:t>
      </w:r>
      <w:r>
        <w:rPr>
          <w:rFonts w:ascii="仿宋_GB2312" w:hAnsi="Times New Roman" w:eastAsia="仿宋_GB2312" w:cs="Times New Roman"/>
          <w:color w:val="auto"/>
          <w:kern w:val="0"/>
          <w:sz w:val="32"/>
          <w:szCs w:val="32"/>
        </w:rPr>
        <w:t>90</w:t>
      </w:r>
      <w:r>
        <w:rPr>
          <w:rFonts w:hint="eastAsia" w:ascii="仿宋_GB2312" w:hAnsi="Times New Roman" w:eastAsia="仿宋_GB2312" w:cs="Times New Roman"/>
          <w:color w:val="auto"/>
          <w:kern w:val="0"/>
          <w:sz w:val="32"/>
          <w:szCs w:val="32"/>
        </w:rPr>
        <w:t>号）要求执行。</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ascii="仿宋_GB2312" w:hAnsi="Times New Roman" w:eastAsia="仿宋_GB2312" w:cs="Times New Roman"/>
          <w:color w:val="auto"/>
          <w:kern w:val="0"/>
          <w:sz w:val="32"/>
          <w:szCs w:val="32"/>
        </w:rPr>
      </w:pPr>
      <w:r>
        <w:rPr>
          <w:rFonts w:ascii="仿宋_GB2312" w:hAnsi="Times New Roman" w:eastAsia="仿宋_GB2312" w:cs="Times New Roman"/>
          <w:color w:val="auto"/>
          <w:kern w:val="0"/>
          <w:sz w:val="32"/>
          <w:szCs w:val="32"/>
        </w:rPr>
        <w:t>8.</w:t>
      </w:r>
      <w:r>
        <w:rPr>
          <w:rFonts w:hint="eastAsia" w:ascii="仿宋_GB2312" w:hAnsi="Times New Roman" w:eastAsia="仿宋_GB2312" w:cs="Times New Roman"/>
          <w:color w:val="auto"/>
          <w:kern w:val="0"/>
          <w:sz w:val="32"/>
          <w:szCs w:val="32"/>
        </w:rPr>
        <w:t>根据教育部办公厅《关于解决驻外使领馆工作人员子女回国后入学问题的通知》（教基厅〔</w:t>
      </w:r>
      <w:r>
        <w:rPr>
          <w:rFonts w:ascii="仿宋_GB2312" w:hAnsi="Times New Roman" w:eastAsia="仿宋_GB2312" w:cs="Times New Roman"/>
          <w:color w:val="auto"/>
          <w:kern w:val="0"/>
          <w:sz w:val="32"/>
          <w:szCs w:val="32"/>
        </w:rPr>
        <w:t>2005</w:t>
      </w:r>
      <w:r>
        <w:rPr>
          <w:rFonts w:hint="eastAsia" w:ascii="仿宋_GB2312" w:hAnsi="Times New Roman" w:eastAsia="仿宋_GB2312" w:cs="Times New Roman"/>
          <w:color w:val="auto"/>
          <w:kern w:val="0"/>
          <w:sz w:val="32"/>
          <w:szCs w:val="32"/>
        </w:rPr>
        <w:t>〕</w:t>
      </w:r>
      <w:r>
        <w:rPr>
          <w:rFonts w:ascii="仿宋_GB2312" w:hAnsi="Times New Roman" w:eastAsia="仿宋_GB2312" w:cs="Times New Roman"/>
          <w:color w:val="auto"/>
          <w:kern w:val="0"/>
          <w:sz w:val="32"/>
          <w:szCs w:val="32"/>
        </w:rPr>
        <w:t>16</w:t>
      </w:r>
      <w:r>
        <w:rPr>
          <w:rFonts w:hint="eastAsia" w:ascii="仿宋_GB2312" w:hAnsi="Times New Roman" w:eastAsia="仿宋_GB2312" w:cs="Times New Roman"/>
          <w:color w:val="auto"/>
          <w:kern w:val="0"/>
          <w:sz w:val="32"/>
          <w:szCs w:val="32"/>
        </w:rPr>
        <w:t>号），持有驻外使领馆出具的《驻外使领馆工作人员随任子女回国证明》的初中阶段回国的初中生，在初中毕业后参加我省统一组织的高级中等学校招生考试的，在条件相同的情况下，优先录取。</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ascii="Times New Roman" w:hAnsi="Times New Roman"/>
          <w:color w:val="auto"/>
          <w:sz w:val="32"/>
          <w:szCs w:val="32"/>
        </w:rPr>
        <w:sectPr>
          <w:pgSz w:w="11906" w:h="16838"/>
          <w:pgMar w:top="2098" w:right="1474" w:bottom="1984" w:left="1587" w:header="0" w:footer="1814" w:gutter="0"/>
          <w:pgNumType w:fmt="numberInDash"/>
          <w:cols w:space="720" w:num="1"/>
          <w:docGrid w:type="linesAndChars" w:linePitch="587" w:charSpace="1587"/>
        </w:sectPr>
      </w:pPr>
    </w:p>
    <w:p>
      <w:pPr>
        <w:rPr>
          <w:rFonts w:hint="eastAsia" w:ascii="黑体" w:hAnsi="黑体" w:eastAsia="黑体" w:cs="Times New Roman"/>
          <w:color w:val="auto"/>
          <w:kern w:val="0"/>
          <w:sz w:val="18"/>
          <w:szCs w:val="18"/>
        </w:rPr>
      </w:pPr>
      <w:r>
        <w:rPr>
          <w:rFonts w:hint="eastAsia" w:ascii="黑体" w:hAnsi="黑体" w:eastAsia="黑体" w:cs="Times New Roman"/>
          <w:color w:val="auto"/>
          <w:kern w:val="0"/>
          <w:sz w:val="30"/>
          <w:szCs w:val="30"/>
        </w:rPr>
        <w:t>附件</w:t>
      </w:r>
      <w:r>
        <w:rPr>
          <w:rFonts w:ascii="黑体" w:hAnsi="黑体" w:eastAsia="黑体" w:cs="Times New Roman"/>
          <w:color w:val="auto"/>
          <w:kern w:val="0"/>
          <w:sz w:val="30"/>
          <w:szCs w:val="30"/>
        </w:rPr>
        <w:t>3</w:t>
      </w:r>
    </w:p>
    <w:p>
      <w:pPr>
        <w:snapToGrid w:val="0"/>
        <w:jc w:val="center"/>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202</w:t>
      </w:r>
      <w:r>
        <w:rPr>
          <w:rFonts w:hint="eastAsia" w:ascii="方正小标宋_GBK" w:hAnsi="方正小标宋_GBK" w:eastAsia="方正小标宋_GBK" w:cs="方正小标宋_GBK"/>
          <w:color w:val="auto"/>
          <w:kern w:val="0"/>
          <w:sz w:val="44"/>
          <w:szCs w:val="44"/>
          <w:lang w:val="en-US" w:eastAsia="zh-CN"/>
        </w:rPr>
        <w:t>2</w:t>
      </w:r>
      <w:r>
        <w:rPr>
          <w:rFonts w:hint="eastAsia" w:ascii="方正小标宋_GBK" w:hAnsi="方正小标宋_GBK" w:eastAsia="方正小标宋_GBK" w:cs="方正小标宋_GBK"/>
          <w:color w:val="auto"/>
          <w:kern w:val="0"/>
          <w:sz w:val="44"/>
          <w:szCs w:val="44"/>
        </w:rPr>
        <w:t>年中招考试承诺书</w:t>
      </w:r>
    </w:p>
    <w:p>
      <w:pPr>
        <w:ind w:firstLine="640" w:firstLineChars="200"/>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诚信是中华民族的优良传统，是一个社会和睦相处、共同进步的道德基石，诚信考试是每一名考生都应该具备的基本公民素质。我是参加河南省</w:t>
      </w:r>
      <w:r>
        <w:rPr>
          <w:rFonts w:ascii="仿宋_GB2312" w:hAnsi="Times New Roman" w:eastAsia="仿宋_GB2312" w:cs="Times New Roman"/>
          <w:color w:val="auto"/>
          <w:sz w:val="32"/>
          <w:szCs w:val="32"/>
        </w:rPr>
        <w:t>202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年中招考试的一名考生，现郑重承诺：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rPr>
        <w:t>我报名时网上填写的基本情况信息真实、准确，本人</w:t>
      </w:r>
      <w:r>
        <w:rPr>
          <w:rFonts w:hint="eastAsia" w:ascii="仿宋_GB2312" w:hAnsi="Times New Roman" w:eastAsia="仿宋_GB2312" w:cs="Times New Roman"/>
          <w:color w:val="auto"/>
          <w:sz w:val="32"/>
          <w:szCs w:val="32"/>
          <w:lang w:eastAsia="zh-CN"/>
        </w:rPr>
        <w:t>已</w:t>
      </w:r>
      <w:r>
        <w:rPr>
          <w:rFonts w:hint="eastAsia" w:ascii="仿宋_GB2312" w:hAnsi="Times New Roman" w:eastAsia="仿宋_GB2312" w:cs="Times New Roman"/>
          <w:color w:val="auto"/>
          <w:sz w:val="32"/>
          <w:szCs w:val="32"/>
        </w:rPr>
        <w:t>签字确认。</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Times New Roman" w:eastAsia="仿宋_GB2312" w:cs="Times New Roman"/>
          <w:color w:val="auto"/>
          <w:spacing w:val="-8"/>
          <w:sz w:val="32"/>
          <w:szCs w:val="32"/>
        </w:rPr>
      </w:pP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pacing w:val="-8"/>
          <w:sz w:val="32"/>
          <w:szCs w:val="32"/>
        </w:rPr>
        <w:t>本人已认真学习并了解省市中招政策以及相关考试管理规定，将牢固树立“诚信考试光荣，作弊违纪可耻”的思想，自觉遵守考试纪律，保证不违纪、不作弊。</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rPr>
        <w:t>进入考场时携带准考证，主动接受监考人员使用金属探测仪进行检测。服从监考员等考试工作人员的管理，不扰乱考试工作秩序。</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4.</w:t>
      </w:r>
      <w:r>
        <w:rPr>
          <w:rFonts w:hint="eastAsia" w:ascii="仿宋_GB2312" w:hAnsi="Times New Roman" w:eastAsia="仿宋_GB2312" w:cs="Times New Roman"/>
          <w:color w:val="auto"/>
          <w:sz w:val="32"/>
          <w:szCs w:val="32"/>
        </w:rPr>
        <w:t>不携带手机、无线接收和传送设备、电子储存记忆录放设备、手表、修正液、涂改液、文具盒等物品进入考场。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5.</w:t>
      </w:r>
      <w:r>
        <w:rPr>
          <w:rFonts w:hint="eastAsia" w:ascii="仿宋_GB2312" w:hAnsi="Times New Roman" w:eastAsia="仿宋_GB2312" w:cs="Times New Roman"/>
          <w:color w:val="auto"/>
          <w:sz w:val="32"/>
          <w:szCs w:val="32"/>
        </w:rPr>
        <w:t>考试时独立思考、沉着应试，做到不喧哗，不交头接耳、不打手势暗号，不夹带抄袭或有意让他人抄袭，不传抄答案或交换试卷、答题卡，不传递文具等物品，不将试卷、答题卡或草稿纸带出考场，终考铃响后不在考场和考点警戒线内逗留。</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6.</w:t>
      </w:r>
      <w:r>
        <w:rPr>
          <w:rFonts w:hint="eastAsia" w:ascii="仿宋_GB2312" w:hAnsi="Times New Roman" w:eastAsia="仿宋_GB2312" w:cs="Times New Roman"/>
          <w:color w:val="auto"/>
          <w:sz w:val="32"/>
          <w:szCs w:val="32"/>
        </w:rPr>
        <w:t>我已了解志愿学校基本情况、录取办法和收费标准，所填报志愿是本人真实意愿，一经录取，将按规定时间到校报到。否则，视为主动放弃普通高中学业资格。</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如违反以上承诺，我愿意承担一切责任，接受相应处理。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承诺人：</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 xml:space="preserve">       </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准考证号：</w:t>
      </w:r>
    </w:p>
    <w:p>
      <w:pPr>
        <w:keepNext w:val="0"/>
        <w:keepLines w:val="0"/>
        <w:pageBreakBefore w:val="0"/>
        <w:widowControl w:val="0"/>
        <w:kinsoku/>
        <w:wordWrap/>
        <w:overflowPunct/>
        <w:topLinePunct w:val="0"/>
        <w:autoSpaceDE/>
        <w:autoSpaceDN/>
        <w:bidi w:val="0"/>
        <w:adjustRightInd/>
        <w:snapToGrid/>
        <w:spacing w:line="400" w:lineRule="exact"/>
        <w:ind w:firstLine="5692" w:firstLineChars="1779"/>
        <w:textAlignment w:val="auto"/>
        <w:rPr>
          <w:rFonts w:hint="eastAsia"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692" w:firstLineChars="1779"/>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监护人</w:t>
      </w:r>
    </w:p>
    <w:p>
      <w:pPr>
        <w:keepNext w:val="0"/>
        <w:keepLines w:val="0"/>
        <w:pageBreakBefore w:val="0"/>
        <w:widowControl w:val="0"/>
        <w:kinsoku/>
        <w:wordWrap/>
        <w:overflowPunct/>
        <w:topLinePunct w:val="0"/>
        <w:autoSpaceDE/>
        <w:autoSpaceDN/>
        <w:bidi w:val="0"/>
        <w:adjustRightInd/>
        <w:snapToGrid/>
        <w:spacing w:line="400" w:lineRule="exact"/>
        <w:ind w:firstLine="5379" w:firstLineChars="1681"/>
        <w:textAlignment w:val="auto"/>
        <w:rPr>
          <w:rFonts w:hint="eastAsia" w:ascii="仿宋_GB2312" w:hAnsi="Times New Roman" w:eastAsia="仿宋_GB2312" w:cs="Times New Roman"/>
          <w:color w:val="auto"/>
          <w:sz w:val="32"/>
          <w:szCs w:val="32"/>
        </w:rPr>
        <w:sectPr>
          <w:pgSz w:w="11906" w:h="16838"/>
          <w:pgMar w:top="2098" w:right="1474" w:bottom="1984" w:left="1587" w:header="851" w:footer="992" w:gutter="0"/>
          <w:pgNumType w:fmt="numberInDash"/>
          <w:cols w:space="0" w:num="1"/>
          <w:rtlGutter w:val="0"/>
          <w:docGrid w:type="lines" w:linePitch="312" w:charSpace="0"/>
        </w:sectPr>
      </w:pPr>
      <w:r>
        <w:rPr>
          <w:rFonts w:hint="eastAsia" w:ascii="仿宋_GB2312" w:hAnsi="Times New Roman" w:eastAsia="仿宋_GB2312" w:cs="Times New Roman"/>
          <w:color w:val="auto"/>
          <w:sz w:val="32"/>
          <w:szCs w:val="32"/>
        </w:rPr>
        <w:t>年</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月  日</w:t>
      </w:r>
    </w:p>
    <w:tbl>
      <w:tblPr>
        <w:tblStyle w:val="3"/>
        <w:tblW w:w="15937" w:type="dxa"/>
        <w:jc w:val="center"/>
        <w:shd w:val="clear" w:color="auto" w:fill="auto"/>
        <w:tblLayout w:type="autofit"/>
        <w:tblCellMar>
          <w:top w:w="0" w:type="dxa"/>
          <w:left w:w="108" w:type="dxa"/>
          <w:bottom w:w="0" w:type="dxa"/>
          <w:right w:w="108" w:type="dxa"/>
        </w:tblCellMar>
      </w:tblPr>
      <w:tblGrid>
        <w:gridCol w:w="3092"/>
        <w:gridCol w:w="1491"/>
        <w:gridCol w:w="5618"/>
        <w:gridCol w:w="2880"/>
        <w:gridCol w:w="2856"/>
      </w:tblGrid>
      <w:tr>
        <w:tblPrEx>
          <w:shd w:val="clear" w:color="auto" w:fill="auto"/>
          <w:tblCellMar>
            <w:top w:w="0" w:type="dxa"/>
            <w:left w:w="108" w:type="dxa"/>
            <w:bottom w:w="0" w:type="dxa"/>
            <w:right w:w="108" w:type="dxa"/>
          </w:tblCellMar>
        </w:tblPrEx>
        <w:trPr>
          <w:trHeight w:val="360" w:hRule="atLeast"/>
          <w:jc w:val="center"/>
        </w:trPr>
        <w:tc>
          <w:tcPr>
            <w:tcW w:w="15936" w:type="dxa"/>
            <w:gridSpan w:val="5"/>
            <w:tcBorders>
              <w:top w:val="nil"/>
              <w:left w:val="nil"/>
              <w:bottom w:val="nil"/>
              <w:right w:val="nil"/>
            </w:tcBorders>
            <w:shd w:val="clear" w:color="auto" w:fill="auto"/>
            <w:noWrap/>
            <w:vAlign w:val="center"/>
          </w:tcPr>
          <w:p>
            <w:pPr>
              <w:rPr>
                <w:rFonts w:hint="eastAsia" w:ascii="仿宋_GB2312" w:hAnsi="宋体" w:eastAsia="仿宋_GB2312" w:cs="仿宋_GB2312"/>
                <w:b/>
                <w:bCs/>
                <w:i w:val="0"/>
                <w:iCs w:val="0"/>
                <w:color w:val="auto"/>
                <w:kern w:val="0"/>
                <w:sz w:val="24"/>
                <w:szCs w:val="24"/>
                <w:u w:val="none"/>
                <w:lang w:val="en-US" w:eastAsia="zh-CN" w:bidi="ar"/>
              </w:rPr>
            </w:pPr>
            <w:r>
              <w:rPr>
                <w:rFonts w:hint="eastAsia" w:ascii="黑体" w:hAnsi="黑体" w:eastAsia="黑体" w:cs="Times New Roman"/>
                <w:color w:val="auto"/>
                <w:kern w:val="0"/>
                <w:sz w:val="30"/>
                <w:szCs w:val="30"/>
              </w:rPr>
              <w:t>附件</w:t>
            </w:r>
            <w:r>
              <w:rPr>
                <w:rFonts w:hint="eastAsia" w:ascii="黑体" w:hAnsi="黑体" w:eastAsia="黑体" w:cs="Times New Roman"/>
                <w:color w:val="auto"/>
                <w:kern w:val="0"/>
                <w:sz w:val="30"/>
                <w:szCs w:val="30"/>
                <w:lang w:val="en-US" w:eastAsia="zh-CN"/>
              </w:rPr>
              <w:t>4</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bCs/>
                <w:i w:val="0"/>
                <w:iCs w:val="0"/>
                <w:color w:val="auto"/>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2022年中招平顶山市市直考区及石龙区考区志愿方案</w:t>
            </w:r>
          </w:p>
        </w:tc>
      </w:tr>
      <w:tr>
        <w:tblPrEx>
          <w:shd w:val="clear" w:color="auto" w:fill="auto"/>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批次</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志愿序号</w:t>
            </w:r>
          </w:p>
        </w:tc>
        <w:tc>
          <w:tcPr>
            <w:tcW w:w="6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可选志愿</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招生范围</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选择方式</w:t>
            </w:r>
          </w:p>
        </w:tc>
      </w:tr>
      <w:tr>
        <w:tblPrEx>
          <w:shd w:val="clear" w:color="auto" w:fill="auto"/>
        </w:tblPrEx>
        <w:trPr>
          <w:trHeight w:val="336" w:hRule="atLeast"/>
          <w:jc w:val="center"/>
        </w:trPr>
        <w:tc>
          <w:tcPr>
            <w:tcW w:w="3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省提前批第一批次</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w:t>
            </w:r>
          </w:p>
        </w:tc>
        <w:tc>
          <w:tcPr>
            <w:tcW w:w="6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空、海军航空实验班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全省</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2选1或不选</w:t>
            </w:r>
          </w:p>
        </w:tc>
      </w:tr>
      <w:tr>
        <w:tblPrEx>
          <w:shd w:val="clear" w:color="auto" w:fill="auto"/>
          <w:tblCellMar>
            <w:top w:w="0" w:type="dxa"/>
            <w:left w:w="108" w:type="dxa"/>
            <w:bottom w:w="0" w:type="dxa"/>
            <w:right w:w="108" w:type="dxa"/>
          </w:tblCellMar>
        </w:tblPrEx>
        <w:trPr>
          <w:trHeight w:val="1008" w:hRule="atLeast"/>
          <w:jc w:val="center"/>
        </w:trPr>
        <w:tc>
          <w:tcPr>
            <w:tcW w:w="3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省提前批第二批次</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w:t>
            </w:r>
          </w:p>
        </w:tc>
        <w:tc>
          <w:tcPr>
            <w:tcW w:w="6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经省厅批准的其他地市省级宏志班、理科实验班、校园足球实验班、河南省体育中学</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全省</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多选1或不选</w:t>
            </w:r>
          </w:p>
        </w:tc>
      </w:tr>
      <w:tr>
        <w:tblPrEx>
          <w:shd w:val="clear" w:color="auto" w:fill="auto"/>
          <w:tblCellMar>
            <w:top w:w="0" w:type="dxa"/>
            <w:left w:w="108" w:type="dxa"/>
            <w:bottom w:w="0" w:type="dxa"/>
            <w:right w:w="108" w:type="dxa"/>
          </w:tblCellMar>
        </w:tblPrEx>
        <w:trPr>
          <w:trHeight w:val="16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市提前批次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6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sz w:val="21"/>
                <w:szCs w:val="21"/>
                <w:u w:val="none"/>
              </w:rPr>
              <w:t>市一中珍珠班、中美高中教育项目、强基计划实验班；市一高创新实验班、中韩高中教育项目、英才班；市实验高中院士班、中加高中教育项目；鲁山一高中俄高中教育项目</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全市</w:t>
            </w:r>
          </w:p>
        </w:tc>
        <w:tc>
          <w:tcPr>
            <w:tcW w:w="2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sz w:val="21"/>
                <w:szCs w:val="21"/>
                <w:u w:val="none"/>
              </w:rPr>
              <w:t>市直、石龙区考区23选1或不选                         其他考区9选1或不选</w:t>
            </w:r>
          </w:p>
        </w:tc>
      </w:tr>
      <w:tr>
        <w:tblPrEx>
          <w:shd w:val="clear" w:color="auto" w:fill="auto"/>
          <w:tblCellMar>
            <w:top w:w="0" w:type="dxa"/>
            <w:left w:w="108" w:type="dxa"/>
            <w:bottom w:w="0" w:type="dxa"/>
            <w:right w:w="108" w:type="dxa"/>
          </w:tblCellMar>
        </w:tblPrEx>
        <w:trPr>
          <w:trHeight w:val="1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auto"/>
                <w:sz w:val="21"/>
                <w:szCs w:val="21"/>
                <w:u w:val="none"/>
              </w:rPr>
            </w:pPr>
          </w:p>
        </w:tc>
        <w:tc>
          <w:tcPr>
            <w:tcW w:w="6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sz w:val="21"/>
                <w:szCs w:val="21"/>
                <w:u w:val="none"/>
              </w:rPr>
              <w:t>市二中创新实验班；市二高创新实验班、小语种（日语方向）；市三高创新实验班；市八中美术</w:t>
            </w:r>
            <w:r>
              <w:rPr>
                <w:rFonts w:hint="eastAsia" w:ascii="仿宋_GB2312" w:hAnsi="宋体" w:eastAsia="仿宋_GB2312" w:cs="仿宋_GB2312"/>
                <w:i w:val="0"/>
                <w:iCs w:val="0"/>
                <w:color w:val="auto"/>
                <w:sz w:val="21"/>
                <w:szCs w:val="21"/>
                <w:u w:val="none"/>
                <w:lang w:eastAsia="zh-CN"/>
              </w:rPr>
              <w:t>（</w:t>
            </w:r>
            <w:r>
              <w:rPr>
                <w:rFonts w:hint="eastAsia" w:ascii="仿宋_GB2312" w:hAnsi="宋体" w:eastAsia="仿宋_GB2312" w:cs="仿宋_GB2312"/>
                <w:i w:val="0"/>
                <w:iCs w:val="0"/>
                <w:color w:val="auto"/>
                <w:sz w:val="21"/>
                <w:szCs w:val="21"/>
                <w:u w:val="none"/>
              </w:rPr>
              <w:t>特长生）；市四中体育、艺术传媒（特长生）；平顶山一中新区高级中学强基计划实验班、美术（特长生）、体育（特长生）；平顶山市蓝天高级中学美术（特长生）；平顶山市龙河实验高级中学体育（特长生）；平顶山市香山高级中学美术、书法（特长生）</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市直考区、石龙区考区</w:t>
            </w:r>
          </w:p>
        </w:tc>
        <w:tc>
          <w:tcPr>
            <w:tcW w:w="2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iCs w:val="0"/>
                <w:color w:val="auto"/>
                <w:sz w:val="21"/>
                <w:szCs w:val="21"/>
                <w:u w:val="none"/>
              </w:rPr>
            </w:pPr>
          </w:p>
        </w:tc>
      </w:tr>
      <w:tr>
        <w:tblPrEx>
          <w:shd w:val="clear" w:color="auto" w:fill="auto"/>
          <w:tblCellMar>
            <w:top w:w="0" w:type="dxa"/>
            <w:left w:w="108" w:type="dxa"/>
            <w:bottom w:w="0" w:type="dxa"/>
            <w:right w:w="108" w:type="dxa"/>
          </w:tblCellMar>
        </w:tblPrEx>
        <w:trPr>
          <w:trHeight w:val="336" w:hRule="atLeast"/>
          <w:jc w:val="center"/>
        </w:trPr>
        <w:tc>
          <w:tcPr>
            <w:tcW w:w="3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统招第一批次</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w:t>
            </w:r>
          </w:p>
        </w:tc>
        <w:tc>
          <w:tcPr>
            <w:tcW w:w="6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市一中、市一高、市实验高中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市直考区、石龙区考区</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3选1或不选</w:t>
            </w:r>
          </w:p>
        </w:tc>
      </w:tr>
      <w:tr>
        <w:tblPrEx>
          <w:shd w:val="clear" w:color="auto" w:fill="auto"/>
          <w:tblCellMar>
            <w:top w:w="0" w:type="dxa"/>
            <w:left w:w="108" w:type="dxa"/>
            <w:bottom w:w="0" w:type="dxa"/>
            <w:right w:w="108" w:type="dxa"/>
          </w:tblCellMar>
        </w:tblPrEx>
        <w:trPr>
          <w:trHeight w:val="1344" w:hRule="atLeast"/>
          <w:jc w:val="center"/>
        </w:trPr>
        <w:tc>
          <w:tcPr>
            <w:tcW w:w="3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统招第二批次</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w:t>
            </w:r>
          </w:p>
        </w:tc>
        <w:tc>
          <w:tcPr>
            <w:tcW w:w="6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市二中、市二高、市三高、市八中、市四中、平顶山一中新区高级中学（民办）、龙河实验高级中学（民办）、平顶山市蓝天高级中学（民办）、平顶山市豫上高级中学（民办）、平顶山市香山高级中学（民办）</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市直考区、石龙区考区</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10选1或不选</w:t>
            </w:r>
          </w:p>
        </w:tc>
      </w:tr>
      <w:tr>
        <w:tblPrEx>
          <w:tblCellMar>
            <w:top w:w="0" w:type="dxa"/>
            <w:left w:w="108" w:type="dxa"/>
            <w:bottom w:w="0" w:type="dxa"/>
            <w:right w:w="108" w:type="dxa"/>
          </w:tblCellMar>
        </w:tblPrEx>
        <w:trPr>
          <w:trHeight w:val="411" w:hRule="atLeast"/>
          <w:jc w:val="center"/>
        </w:trPr>
        <w:tc>
          <w:tcPr>
            <w:tcW w:w="3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是否同意调剂</w:t>
            </w:r>
          </w:p>
        </w:tc>
        <w:tc>
          <w:tcPr>
            <w:tcW w:w="128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以上志愿均未录取，该选项选择同意后方可进行志愿征集</w:t>
            </w:r>
          </w:p>
        </w:tc>
      </w:tr>
      <w:tr>
        <w:tblPrEx>
          <w:tblCellMar>
            <w:top w:w="0" w:type="dxa"/>
            <w:left w:w="108" w:type="dxa"/>
            <w:bottom w:w="0" w:type="dxa"/>
            <w:right w:w="108" w:type="dxa"/>
          </w:tblCellMar>
        </w:tblPrEx>
        <w:trPr>
          <w:trHeight w:val="429" w:hRule="atLeast"/>
          <w:jc w:val="center"/>
        </w:trPr>
        <w:tc>
          <w:tcPr>
            <w:tcW w:w="3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征集批次</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w:t>
            </w:r>
          </w:p>
        </w:tc>
        <w:tc>
          <w:tcPr>
            <w:tcW w:w="6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招生计划未录满的学校</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市直考区、石龙区考区</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N选1或不选（含民办）</w:t>
            </w:r>
          </w:p>
        </w:tc>
      </w:tr>
      <w:tr>
        <w:trPr>
          <w:trHeight w:val="1041" w:hRule="atLeast"/>
          <w:jc w:val="center"/>
        </w:trPr>
        <w:tc>
          <w:tcPr>
            <w:tcW w:w="15936" w:type="dxa"/>
            <w:gridSpan w:val="5"/>
            <w:tcBorders>
              <w:top w:val="single" w:color="000000"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注意事项：1.省提前批宏志班志愿须进行资格审查后方可见；2.凡填报中外高中教育项目（国际班）、民办学校志愿的考生应提前与招生学校联系，咨询招生收费等事宜，避免错误填报影响录取；3.请各位考生和家长在截止时间前谨慎填报志愿；4.征集批次每次限选1个志愿，征集次数视具体情况而定；5.特长生须完成相应学校特长加试后，志愿方生效。</w:t>
            </w:r>
          </w:p>
        </w:tc>
      </w:tr>
    </w:tbl>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color w:val="auto"/>
          <w:kern w:val="0"/>
          <w:sz w:val="32"/>
          <w:szCs w:val="32"/>
          <w:shd w:val="clear" w:color="auto" w:fill="FFFFFF"/>
          <w:lang w:val="en-US" w:eastAsia="zh-CN"/>
        </w:rPr>
        <w:sectPr>
          <w:pgSz w:w="16838" w:h="11906" w:orient="landscape"/>
          <w:pgMar w:top="720" w:right="720" w:bottom="720" w:left="720" w:header="851" w:footer="992" w:gutter="0"/>
          <w:pgNumType w:fmt="numberInDash"/>
          <w:cols w:space="0" w:num="1"/>
          <w:rtlGutter w:val="0"/>
          <w:docGrid w:type="lines" w:linePitch="312" w:charSpace="0"/>
        </w:sectPr>
      </w:pPr>
    </w:p>
    <w:p>
      <w:bookmarkStart w:id="0" w:name="_GoBack"/>
      <w:bookmarkEnd w:id="0"/>
    </w:p>
    <w:sectPr>
      <w:pgSz w:w="11906" w:h="16838"/>
      <w:pgMar w:top="1984"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MjRiNzQxN2M2MDA1MTZhMTVkNjBkODllZWMwZDIifQ=="/>
  </w:docVars>
  <w:rsids>
    <w:rsidRoot w:val="00000000"/>
    <w:rsid w:val="3CA65674"/>
    <w:rsid w:val="44072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2020-07-17T01:56:00Z</dcterms:created>
  <dc:creator>Administrator</dc:creator>
  <cp:lastModifiedBy>徐晓旭</cp:lastModifiedBy>
  <dcterms:modified xsi:type="dcterms:W3CDTF">2022-05-30T08:24:09Z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7B4C6A5B3F6B454EB44BDE88877BEEE2</vt:lpwstr>
  </property>
</Properties>
</file>