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400" w:lineRule="exact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2</w:t>
      </w:r>
    </w:p>
    <w:tbl>
      <w:tblPr>
        <w:tblpPr w:leftFromText="180" w:rightFromText="180" w:vertAnchor="text" w:horzAnchor="page" w:tblpX="1285" w:tblpY="556"/>
        <w:tblOverlap w:val="never"/>
        <w:tblW w:w="95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2"/>
        <w:gridCol w:w="2358"/>
        <w:gridCol w:w="2580"/>
      </w:tblGrid>
      <w:tr>
        <w:trPr>
          <w:trHeight w:val="620" w:hRule="atLeast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2022年教体系统创建全国文明城市中、小学实地考察表</w:t>
            </w:r>
          </w:p>
        </w:tc>
      </w:tr>
      <w:tr>
        <w:trPr>
          <w:trHeight w:val="520" w:hRule="atLeast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学校：                            时间：      年   月   日</w:t>
            </w:r>
          </w:p>
        </w:tc>
      </w:tr>
      <w:tr>
        <w:trPr>
          <w:trHeight w:val="560" w:hRule="atLeast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单位负责人签字：</w:t>
            </w:r>
          </w:p>
        </w:tc>
        <w:tc>
          <w:tcPr>
            <w:tcW w:w="4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电话：</w:t>
            </w:r>
          </w:p>
        </w:tc>
      </w:tr>
      <w:tr>
        <w:trPr>
          <w:trHeight w:val="500" w:hRule="atLeast"/>
        </w:trPr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测评内容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存在问题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整改时限</w:t>
            </w:r>
          </w:p>
        </w:tc>
      </w:tr>
      <w:tr>
        <w:trPr>
          <w:trHeight w:val="520" w:hRule="atLeast"/>
        </w:trPr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□1.显著位置有中小学生守则宣传（版面）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600" w:hRule="atLeast"/>
        </w:trPr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□2.校园及教室内显著位置有社会主义核心价值观宣传（版面）；师生对社会主义核心价值观内容耳熟能详。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1580" w:hRule="atLeast"/>
        </w:trPr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□3.显著位置有文明校园创建宣传版面2-3块（含建设新时代文明实践站（点）宣传版面），有文明校园创建工作安排和落实情况的文字资料及活动图片，创建资料专人保管随时备查；已被表彰的各级文明校园需在显著位置悬挂文明校园牌匾。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380" w:hRule="atLeast"/>
        </w:trPr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□4.师德师风教育宣传（版面）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720" w:hRule="atLeast"/>
        </w:trPr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□5.图文并茂的“戏曲进校园”和“书法进校园”活动宣传（版面）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20" w:hRule="atLeast"/>
        </w:trPr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□6.有校园开展新时代文明实践活动展示（版面）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520" w:hRule="atLeast"/>
        </w:trPr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□7.爱国主义教育宣传（版面）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420" w:hRule="atLeast"/>
        </w:trPr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□8.立德树人宣传（版面）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540" w:hRule="atLeast"/>
        </w:trPr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□9.培养担当民族复兴大任的时代新人宣传（版面）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520" w:hRule="atLeast"/>
        </w:trPr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□10.学习新时代好少年主题活动宣传（版面）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90" w:hRule="atLeast"/>
        </w:trPr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□11.扣好人生第一粒扣子(1.“新时代好少年”学习宣传活动;2.“传承红色基因”系列教育活动;3.中华优秀传统文化传承活动;4.学雷锋志愿服务活动;5.“劳动美”社会实践活动;6.“阳光成长”心理健康教育活动）(体现出本校特色）（版面）。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880" w:hRule="atLeast"/>
        </w:trPr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□12.显著位置不少于3处的主题公益广告，包含“学雷锋精神”“文明健康 绿色环保”“讲文明 树新风”主题公益广告(公益广告）。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940" w:hRule="atLeast"/>
        </w:trPr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□13.（1）办公楼教学楼有无障碍设施（2）消防设施需要按照标准设置，无损坏、占用现象,且有巡检记录（3）安全通道通畅。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1780" w:hRule="atLeast"/>
        </w:trPr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□14.校园环境干净无破损，无卫生死角、无杂物堆放、卫生间无明显异味，墙面地面整洁无污渍，设有分类垃圾桶、垃圾分类规范、有垃圾分类宣传内容，校园内全面禁烟，有禁烟标识，没有吸烟现象，室内无烟味、无烟蒂；校内机动车、非机动车统一划线，车头朝向一致，在线内停放。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00" w:hRule="atLeast"/>
        </w:trPr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□15.校园门前交通秩序良好，校门口有“一米线”提示标识，校园及周边环境干净整洁，无八大不文明现象。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1800" w:hRule="atLeast"/>
        </w:trPr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□16.学校左右200米内（包含马路对面）无性病、皮肤病、不孕不育、生殖、内容暴露整形美容商业广告；无网吧、游艺厅等成人娱乐场所，无人流、性病治疗业务为主的诊所；无流动商贩；无“三无食品”，无出售、出租影响未成年人健康的产品和出版物，各类超市无销售烟、酒现象（具体范围按照监管部门管理规定执行）。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00" w:hRule="atLeast"/>
        </w:trPr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□17.家长学校和心理咨询室有场地、制度、组织机构和活动资料。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1580" w:hRule="atLeast"/>
        </w:trPr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□18.（1）餐厅有“文明餐桌”、“光盘行动”、“节俭养德”、“反对浪费”温馨提示牌；（2）服务台有投诉箱，投诉电话畅通，意见留言有处理结果（3）消防设施、安全通道、防火门等设施完善（4）餐厅窗口有“一米线”提示标识；（5）学生食堂、厨房干净卫生。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1160" w:hRule="atLeast"/>
        </w:trPr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□19.志愿服务站(点):服务站(点)按照志愿服务明白卡上提供的服务内容设置项目，要求提供的物品可以正常使用，非处方药品无过期现象；有志愿者值守，志愿者统一着装能够正常开展志愿服务，档案资料齐全。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3749" w:hRule="atLeast"/>
        </w:trPr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□20.问卷调查：1.学生会背诵及理解社会核心价值观；2.有无未成年人上网现象；3.思政课是否有减少课时或占用现象，是否参加过共青团、少先队活动；4.是否到本地爱国主义教育基地、是否参加过公益性活动、志愿服务活动或社区组织的慰问帮扶公益服务等活动；5.学生是否知道文明创建（文明城市创建、文明校园创建）；6.音乐、美术、劳动、体育课程有无减少课时或被占用；7.学校安全状况是否满意，学校是否存在霸凌现象。（现场抽查5名学生）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580" w:hRule="atLeast"/>
        </w:trPr>
        <w:tc>
          <w:tcPr>
            <w:tcW w:w="9510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补充说明：1.各类宣传版面必须在步行进入校园100米范围内显著位置均等设置，宣传版面必须用固定方式设置、合理规划，做到进门可见分栏展示。宣传版面内容必须图文并茂，文字说明要结合学校特色，版面内容要及时更新，不能有陈旧缺损掉色现象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2.关于公益广告要求标准：必须有社会主义核心价值观和“文明健康 绿色环保”主题公益广告。公益广告有统一规划设计，内容、色调与周围的城市景观风貌相融合。公益广告宣传突出思想性，兼顾艺术性、观赏性、耐久性、内容无书写错误、表述不规范或与中央精神、社会公德、公序良俗不相符的问题，无明显的褪色、污损或被小广告张贴占用的现象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3．关于无八类不文明现象：①无争吵谩骂、使用低俗语言现象；②无乱扔杂物、车窗抛物现象；③无随地吐痰、打喷嚏咳嗽不掩口鼻现象；④无损坏公共设施现象；⑤无占用和堵塞消防通道现象；⑥无不文明养宠现象；⑦无躺卧公共座椅现象；⑧有序排队，保持适当距离，无插队现象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4.无障碍设施和服务：应设有轮椅通道、扶手或缘石坡道等无障碍设施，无障碍标识明显，设施管理、使用情况良好；停车场设有无障碍停车位，无障碍标识明显；对视力残疾人和听力残疾人提供信息无障碍方面的志愿服务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5.心理咨询室要求：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（1）有专门的工作场地，功能活动室不少于3个。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（2）有专业的心理咨询教师（心理学专业毕业或有国家颁发心理咨询师资格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证)；显著位置展示咨询教师信息（固定展示）。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（3)有开展心理健康辅导等方面的工作记录备查。台账包括：本年度工作计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划，工作总结，各项制度，辅导人员名单，排班表，现场授课记录（现场授课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照片需注明时间、地点、讲课人员、授课主题、内容)。</w:t>
            </w:r>
          </w:p>
        </w:tc>
      </w:tr>
    </w:tbl>
    <w:p>
      <w:pPr>
        <w:widowControl w:val="0"/>
        <w:wordWrap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jc w:val="left"/>
        <w:textAlignment w:val="center"/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</w:style>
  <w:style w:type="paragraph" w:styleId="3">
    <w:name w:val="Body Text"/>
    <w:basedOn w:val="1"/>
    <w:next w:val="1"/>
    <w:pPr>
      <w:ind w:left="106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61"/>
    <w:basedOn w:val="6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8">
    <w:name w:val="font11"/>
    <w:basedOn w:val="6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9">
    <w:name w:val="font51"/>
    <w:basedOn w:val="6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10">
    <w:name w:val="font01"/>
    <w:basedOn w:val="6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1">
    <w:name w:val="font112"/>
    <w:basedOn w:val="6"/>
    <w:rPr>
      <w:rFonts w:ascii="楷体" w:hAnsi="楷体" w:eastAsia="楷体" w:cs="楷体"/>
      <w:color w:val="000000"/>
      <w:sz w:val="28"/>
      <w:szCs w:val="28"/>
      <w:u w:val="none"/>
    </w:rPr>
  </w:style>
  <w:style w:type="character" w:customStyle="1" w:styleId="12">
    <w:name w:val="font101"/>
    <w:basedOn w:val="6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21"/>
    <w:basedOn w:val="6"/>
    <w:rPr>
      <w:rFonts w:hint="eastAsia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4">
    <w:name w:val="font91"/>
    <w:basedOn w:val="6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12938</Words>
  <Characters>13226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2022-06-14T17:13:00Z</dcterms:created>
  <dc:creator>admin</dc:creator>
  <dcterms:modified xsi:type="dcterms:W3CDTF">2022-06-28T15:22:12Z</dcterms:modified>
  <dc:title>admin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B6AD01362219405CA161BB54305762F7</vt:lpwstr>
  </property>
</Properties>
</file>