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附件</w:t>
      </w:r>
      <w:r>
        <w:rPr>
          <w:rFonts w:ascii="黑体" w:hAnsi="黑体" w:eastAsia="黑体" w:cs="黑体"/>
          <w:color w:val="auto"/>
          <w:kern w:val="0"/>
          <w:sz w:val="32"/>
          <w:szCs w:val="32"/>
          <w:shd w:val="clear" w:color="auto" w:fill="FFFFFF"/>
        </w:rPr>
        <w:t>1</w:t>
      </w:r>
    </w:p>
    <w:p>
      <w:pPr>
        <w:widowControl/>
        <w:shd w:val="clear" w:color="auto" w:fill="FFFFFF"/>
        <w:snapToGrid w:val="0"/>
        <w:jc w:val="center"/>
        <w:rPr>
          <w:rFonts w:hint="eastAsia" w:ascii="方正小标宋_GBK" w:hAnsi="方正小标宋_GBK" w:eastAsia="方正小标宋_GBK" w:cs="方正小标宋_GBK"/>
          <w:color w:val="auto"/>
          <w:kern w:val="0"/>
          <w:sz w:val="36"/>
          <w:szCs w:val="36"/>
          <w:shd w:val="clear" w:color="auto" w:fill="FFFFFF"/>
          <w:lang w:val="en-US" w:eastAsia="zh-CN"/>
        </w:rPr>
      </w:pPr>
      <w:r>
        <w:rPr>
          <w:rFonts w:hint="eastAsia" w:ascii="方正小标宋_GBK" w:hAnsi="方正小标宋_GBK" w:eastAsia="方正小标宋_GBK" w:cs="方正小标宋_GBK"/>
          <w:color w:val="auto"/>
          <w:kern w:val="0"/>
          <w:sz w:val="36"/>
          <w:szCs w:val="36"/>
          <w:shd w:val="clear" w:color="auto" w:fill="FFFFFF"/>
          <w:lang w:val="en-US" w:eastAsia="zh-CN"/>
        </w:rPr>
        <w:t>2022年平顶山市城区局属初中学校招生计划表</w:t>
      </w:r>
    </w:p>
    <w:tbl>
      <w:tblPr>
        <w:tblStyle w:val="3"/>
        <w:tblW w:w="8638" w:type="dxa"/>
        <w:jc w:val="center"/>
        <w:tblLayout w:type="fixed"/>
        <w:tblCellMar>
          <w:top w:w="0" w:type="dxa"/>
          <w:left w:w="108" w:type="dxa"/>
          <w:bottom w:w="0" w:type="dxa"/>
          <w:right w:w="108" w:type="dxa"/>
        </w:tblCellMar>
      </w:tblPr>
      <w:tblGrid>
        <w:gridCol w:w="4160"/>
        <w:gridCol w:w="1227"/>
        <w:gridCol w:w="3251"/>
      </w:tblGrid>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b/>
                <w:bCs/>
                <w:color w:val="auto"/>
                <w:kern w:val="0"/>
                <w:sz w:val="28"/>
                <w:szCs w:val="28"/>
              </w:rPr>
            </w:pPr>
            <w:r>
              <w:rPr>
                <w:rFonts w:hint="eastAsia" w:ascii="仿宋_GB2312" w:hAnsi="仿宋_GB2312" w:eastAsia="仿宋_GB2312" w:cs="仿宋_GB2312"/>
                <w:b/>
                <w:bCs/>
                <w:color w:val="auto"/>
                <w:kern w:val="0"/>
                <w:sz w:val="28"/>
                <w:szCs w:val="28"/>
              </w:rPr>
              <w:t>学校</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班数</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b/>
                <w:bCs/>
                <w:color w:val="auto"/>
                <w:kern w:val="0"/>
                <w:sz w:val="28"/>
                <w:szCs w:val="28"/>
                <w:lang w:eastAsia="zh-CN"/>
              </w:rPr>
            </w:pPr>
            <w:r>
              <w:rPr>
                <w:rFonts w:hint="eastAsia" w:ascii="仿宋_GB2312" w:hAnsi="仿宋_GB2312" w:eastAsia="仿宋_GB2312" w:cs="仿宋_GB2312"/>
                <w:b/>
                <w:bCs/>
                <w:color w:val="auto"/>
                <w:kern w:val="0"/>
                <w:sz w:val="28"/>
                <w:szCs w:val="28"/>
                <w:lang w:val="en-US" w:eastAsia="zh-CN"/>
              </w:rPr>
              <w:t>备注</w:t>
            </w: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平顶山市第一高级中学初中部</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14</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平顶山市三六联校</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20</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平顶山市七中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14</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平顶山市八中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6</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平顶山市九中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12</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平顶山市十一中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4</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平顶山市十二中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6</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平顶山市十三中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12</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平顶山市十四中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12</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olor w:val="auto"/>
                <w:kern w:val="0"/>
                <w:sz w:val="28"/>
                <w:szCs w:val="28"/>
                <w:lang w:eastAsia="zh-CN"/>
              </w:rPr>
            </w:pPr>
            <w:r>
              <w:rPr>
                <w:rFonts w:hint="eastAsia" w:ascii="仿宋_GB2312" w:hAnsi="仿宋_GB2312" w:eastAsia="仿宋_GB2312" w:cs="仿宋_GB2312"/>
                <w:color w:val="auto"/>
                <w:kern w:val="0"/>
                <w:sz w:val="28"/>
                <w:szCs w:val="28"/>
              </w:rPr>
              <w:t>平顶山市十五中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原市三高校址</w:t>
            </w:r>
            <w:r>
              <w:rPr>
                <w:rFonts w:hint="eastAsia" w:ascii="仿宋_GB2312" w:hAnsi="仿宋_GB2312" w:eastAsia="仿宋_GB2312" w:cs="仿宋_GB2312"/>
                <w:color w:val="auto"/>
                <w:kern w:val="0"/>
                <w:sz w:val="28"/>
                <w:szCs w:val="28"/>
                <w:lang w:eastAsia="zh-CN"/>
              </w:rPr>
              <w:t>）</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8</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平顶山市十六中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12</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平顶山市实验中学</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14</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平顶山市育才中学</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14</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平顶山市四十中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8</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平顶山市四十一中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16</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平顶山市四十二中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10</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平顶山市四十三中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10</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平顶山市四十四中</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12</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p>
        </w:tc>
      </w:tr>
      <w:tr>
        <w:tblPrEx>
          <w:tblCellMar>
            <w:top w:w="0" w:type="dxa"/>
            <w:left w:w="108" w:type="dxa"/>
            <w:bottom w:w="0" w:type="dxa"/>
            <w:right w:w="108" w:type="dxa"/>
          </w:tblCellMar>
        </w:tblPrEx>
        <w:trPr>
          <w:trHeight w:val="809"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平顶山市第四十六中（原实验高中校址）</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6</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片区内可走读，其他寄宿</w:t>
            </w:r>
          </w:p>
        </w:tc>
      </w:tr>
      <w:tr>
        <w:tblPrEx>
          <w:tblCellMar>
            <w:top w:w="0" w:type="dxa"/>
            <w:left w:w="108" w:type="dxa"/>
            <w:bottom w:w="0" w:type="dxa"/>
            <w:right w:w="108" w:type="dxa"/>
          </w:tblCellMar>
        </w:tblPrEx>
        <w:trPr>
          <w:trHeight w:val="480"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平顶山市一中新区学校初中部</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val="0"/>
                <w:bCs w:val="0"/>
                <w:color w:val="auto"/>
                <w:kern w:val="0"/>
                <w:sz w:val="28"/>
                <w:szCs w:val="28"/>
                <w:lang w:val="en-US" w:eastAsia="zh-CN"/>
              </w:rPr>
            </w:pPr>
            <w:r>
              <w:rPr>
                <w:rFonts w:hint="eastAsia" w:ascii="仿宋_GB2312" w:hAnsi="仿宋_GB2312" w:eastAsia="仿宋_GB2312"/>
                <w:b w:val="0"/>
                <w:bCs w:val="0"/>
                <w:color w:val="auto"/>
                <w:kern w:val="0"/>
                <w:sz w:val="28"/>
                <w:szCs w:val="28"/>
                <w:lang w:val="en-US" w:eastAsia="zh-CN"/>
              </w:rPr>
              <w:t>2</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olor w:val="auto"/>
                <w:kern w:val="0"/>
                <w:sz w:val="28"/>
                <w:szCs w:val="28"/>
                <w:lang w:val="en-US" w:eastAsia="zh-CN"/>
              </w:rPr>
            </w:pPr>
            <w:r>
              <w:rPr>
                <w:rFonts w:hint="default" w:ascii="仿宋_GB2312" w:hAnsi="仿宋_GB2312" w:eastAsia="仿宋_GB2312"/>
                <w:color w:val="auto"/>
                <w:kern w:val="0"/>
                <w:sz w:val="28"/>
                <w:szCs w:val="28"/>
                <w:lang w:val="en-US" w:eastAsia="zh-CN"/>
              </w:rPr>
              <w:t>民办寄宿制</w:t>
            </w:r>
          </w:p>
        </w:tc>
      </w:tr>
      <w:tr>
        <w:tblPrEx>
          <w:tblCellMar>
            <w:top w:w="0" w:type="dxa"/>
            <w:left w:w="108" w:type="dxa"/>
            <w:bottom w:w="0" w:type="dxa"/>
            <w:right w:w="108" w:type="dxa"/>
          </w:tblCellMar>
        </w:tblPrEx>
        <w:trPr>
          <w:trHeight w:val="625" w:hRule="atLeast"/>
          <w:jc w:val="center"/>
        </w:trPr>
        <w:tc>
          <w:tcPr>
            <w:tcW w:w="41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atLeast"/>
              <w:jc w:val="center"/>
              <w:rPr>
                <w:rFonts w:ascii="仿宋_GB2312" w:hAnsi="仿宋_GB2312" w:eastAsia="仿宋_GB2312"/>
                <w:color w:val="auto"/>
                <w:kern w:val="0"/>
                <w:sz w:val="28"/>
                <w:szCs w:val="28"/>
              </w:rPr>
            </w:pPr>
            <w:r>
              <w:rPr>
                <w:rFonts w:hint="eastAsia" w:ascii="仿宋_GB2312" w:hAnsi="仿宋_GB2312" w:eastAsia="仿宋_GB2312" w:cs="仿宋_GB2312"/>
                <w:color w:val="auto"/>
                <w:kern w:val="0"/>
                <w:sz w:val="28"/>
                <w:szCs w:val="28"/>
              </w:rPr>
              <w:t>合计</w:t>
            </w:r>
          </w:p>
        </w:tc>
        <w:tc>
          <w:tcPr>
            <w:tcW w:w="122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212</w:t>
            </w:r>
          </w:p>
        </w:tc>
        <w:tc>
          <w:tcPr>
            <w:tcW w:w="325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atLeast"/>
              <w:jc w:val="center"/>
              <w:rPr>
                <w:rFonts w:hint="default" w:ascii="仿宋_GB2312" w:hAnsi="仿宋_GB2312" w:eastAsia="仿宋_GB2312"/>
                <w:b/>
                <w:bCs/>
                <w:color w:val="auto"/>
                <w:kern w:val="0"/>
                <w:sz w:val="28"/>
                <w:szCs w:val="28"/>
                <w:lang w:val="en-US" w:eastAsia="zh-CN"/>
              </w:rPr>
            </w:pP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附件</w:t>
      </w:r>
      <w:r>
        <w:rPr>
          <w:rFonts w:ascii="黑体" w:hAnsi="黑体" w:eastAsia="黑体" w:cs="黑体"/>
          <w:color w:val="auto"/>
          <w:kern w:val="0"/>
          <w:sz w:val="32"/>
          <w:szCs w:val="32"/>
          <w:shd w:val="clear" w:color="auto" w:fill="FFFFFF"/>
        </w:rPr>
        <w:t>2</w:t>
      </w:r>
    </w:p>
    <w:p>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方正小标宋_GBK" w:hAnsi="方正小标宋_GBK" w:eastAsia="方正小标宋_GBK" w:cs="方正小标宋_GBK"/>
          <w:b w:val="0"/>
          <w:bCs w:val="0"/>
          <w:color w:val="auto"/>
          <w:kern w:val="0"/>
          <w:sz w:val="36"/>
          <w:szCs w:val="36"/>
        </w:rPr>
      </w:pPr>
      <w:r>
        <w:rPr>
          <w:rFonts w:hint="eastAsia" w:ascii="方正小标宋_GBK" w:hAnsi="方正小标宋_GBK" w:eastAsia="方正小标宋_GBK" w:cs="方正小标宋_GBK"/>
          <w:b w:val="0"/>
          <w:bCs w:val="0"/>
          <w:color w:val="auto"/>
          <w:kern w:val="0"/>
          <w:sz w:val="36"/>
          <w:szCs w:val="36"/>
        </w:rPr>
        <w:t>平顶山市城区初中招生报名</w:t>
      </w:r>
      <w:r>
        <w:rPr>
          <w:rFonts w:hint="eastAsia" w:ascii="方正小标宋_GBK" w:hAnsi="方正小标宋_GBK" w:eastAsia="方正小标宋_GBK" w:cs="方正小标宋_GBK"/>
          <w:b w:val="0"/>
          <w:bCs w:val="0"/>
          <w:color w:val="auto"/>
          <w:kern w:val="0"/>
          <w:sz w:val="36"/>
          <w:szCs w:val="36"/>
          <w:lang w:val="en-US" w:eastAsia="zh-CN"/>
        </w:rPr>
        <w:t>登记</w:t>
      </w:r>
      <w:r>
        <w:rPr>
          <w:rFonts w:hint="eastAsia" w:ascii="方正小标宋_GBK" w:hAnsi="方正小标宋_GBK" w:eastAsia="方正小标宋_GBK" w:cs="方正小标宋_GBK"/>
          <w:b w:val="0"/>
          <w:bCs w:val="0"/>
          <w:color w:val="auto"/>
          <w:kern w:val="0"/>
          <w:sz w:val="36"/>
          <w:szCs w:val="36"/>
        </w:rPr>
        <w:t>表</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毕业小学名称（盖章）</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小升初号：</w:t>
      </w:r>
    </w:p>
    <w:tbl>
      <w:tblPr>
        <w:tblStyle w:val="3"/>
        <w:tblpPr w:leftFromText="180" w:rightFromText="180" w:vertAnchor="text" w:horzAnchor="page" w:tblpXSpec="center" w:tblpY="84"/>
        <w:tblOverlap w:val="never"/>
        <w:tblW w:w="90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1"/>
        <w:gridCol w:w="712"/>
        <w:gridCol w:w="325"/>
        <w:gridCol w:w="776"/>
        <w:gridCol w:w="617"/>
        <w:gridCol w:w="870"/>
        <w:gridCol w:w="318"/>
        <w:gridCol w:w="1253"/>
        <w:gridCol w:w="775"/>
        <w:gridCol w:w="391"/>
        <w:gridCol w:w="240"/>
        <w:gridCol w:w="15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3" w:hRule="atLeast"/>
          <w:jc w:val="center"/>
        </w:trPr>
        <w:tc>
          <w:tcPr>
            <w:tcW w:w="1241"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  名</w:t>
            </w:r>
          </w:p>
        </w:tc>
        <w:tc>
          <w:tcPr>
            <w:tcW w:w="1037" w:type="dxa"/>
            <w:gridSpan w:val="2"/>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776"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性别</w:t>
            </w:r>
          </w:p>
        </w:tc>
        <w:tc>
          <w:tcPr>
            <w:tcW w:w="617" w:type="dxa"/>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188"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出生年月</w:t>
            </w:r>
          </w:p>
        </w:tc>
        <w:tc>
          <w:tcPr>
            <w:tcW w:w="1253" w:type="dxa"/>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775"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民族</w:t>
            </w:r>
          </w:p>
        </w:tc>
        <w:tc>
          <w:tcPr>
            <w:tcW w:w="631" w:type="dxa"/>
            <w:gridSpan w:val="2"/>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556" w:type="dxa"/>
            <w:vMerge w:val="restart"/>
            <w:vAlign w:val="center"/>
          </w:tcPr>
          <w:p>
            <w:pPr>
              <w:widowControl/>
              <w:adjustRightInd w:val="0"/>
              <w:snapToGrid w:val="0"/>
              <w:spacing w:line="240" w:lineRule="atLeast"/>
              <w:ind w:firstLine="240" w:firstLineChars="1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照</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3" w:hRule="atLeast"/>
          <w:jc w:val="center"/>
        </w:trPr>
        <w:tc>
          <w:tcPr>
            <w:tcW w:w="1241"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身份证号</w:t>
            </w:r>
          </w:p>
        </w:tc>
        <w:tc>
          <w:tcPr>
            <w:tcW w:w="2430" w:type="dxa"/>
            <w:gridSpan w:val="4"/>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188"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国网学籍</w:t>
            </w:r>
            <w:r>
              <w:rPr>
                <w:rFonts w:hint="eastAsia" w:ascii="仿宋_GB2312" w:hAnsi="仿宋_GB2312" w:eastAsia="仿宋_GB2312" w:cs="仿宋_GB2312"/>
                <w:color w:val="auto"/>
                <w:kern w:val="0"/>
                <w:sz w:val="24"/>
                <w:szCs w:val="24"/>
              </w:rPr>
              <w:t>号</w:t>
            </w:r>
          </w:p>
        </w:tc>
        <w:tc>
          <w:tcPr>
            <w:tcW w:w="2659" w:type="dxa"/>
            <w:gridSpan w:val="4"/>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556" w:type="dxa"/>
            <w:vMerge w:val="continue"/>
            <w:vAlign w:val="center"/>
          </w:tcPr>
          <w:p>
            <w:pPr>
              <w:widowControl/>
              <w:jc w:val="left"/>
              <w:rPr>
                <w:rFonts w:hint="eastAsia" w:ascii="仿宋_GB2312" w:hAnsi="仿宋_GB2312" w:eastAsia="仿宋_GB2312" w:cs="仿宋_GB2312"/>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6" w:hRule="atLeast"/>
          <w:jc w:val="center"/>
        </w:trPr>
        <w:tc>
          <w:tcPr>
            <w:tcW w:w="1241"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实际居住</w:t>
            </w:r>
            <w:r>
              <w:rPr>
                <w:rFonts w:hint="eastAsia" w:ascii="仿宋_GB2312" w:hAnsi="仿宋_GB2312" w:eastAsia="仿宋_GB2312" w:cs="仿宋_GB2312"/>
                <w:color w:val="auto"/>
                <w:kern w:val="0"/>
                <w:sz w:val="24"/>
                <w:szCs w:val="24"/>
              </w:rPr>
              <w:t xml:space="preserve">地址  </w:t>
            </w:r>
          </w:p>
        </w:tc>
        <w:tc>
          <w:tcPr>
            <w:tcW w:w="3618" w:type="dxa"/>
            <w:gridSpan w:val="6"/>
            <w:vAlign w:val="center"/>
          </w:tcPr>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253" w:type="dxa"/>
            <w:vAlign w:val="center"/>
          </w:tcPr>
          <w:p>
            <w:pPr>
              <w:widowControl/>
              <w:adjustRightInd w:val="0"/>
              <w:snapToGrid w:val="0"/>
              <w:spacing w:line="240" w:lineRule="atLeas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住址</w:t>
            </w:r>
            <w:bookmarkStart w:id="0" w:name="_GoBack"/>
            <w:bookmarkEnd w:id="0"/>
            <w:r>
              <w:rPr>
                <w:rFonts w:hint="eastAsia" w:ascii="仿宋_GB2312" w:hAnsi="仿宋_GB2312" w:eastAsia="仿宋_GB2312" w:cs="仿宋_GB2312"/>
                <w:color w:val="auto"/>
                <w:kern w:val="0"/>
                <w:sz w:val="24"/>
                <w:szCs w:val="24"/>
                <w:lang w:val="en-US" w:eastAsia="zh-CN"/>
              </w:rPr>
              <w:t>区域编号</w:t>
            </w:r>
          </w:p>
        </w:tc>
        <w:tc>
          <w:tcPr>
            <w:tcW w:w="1406" w:type="dxa"/>
            <w:gridSpan w:val="3"/>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556" w:type="dxa"/>
            <w:vMerge w:val="continue"/>
            <w:vAlign w:val="center"/>
          </w:tcPr>
          <w:p>
            <w:pPr>
              <w:widowControl/>
              <w:jc w:val="left"/>
              <w:rPr>
                <w:rFonts w:hint="eastAsia" w:ascii="仿宋_GB2312" w:hAnsi="仿宋_GB2312" w:eastAsia="仿宋_GB2312" w:cs="仿宋_GB2312"/>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9" w:hRule="atLeast"/>
          <w:jc w:val="center"/>
        </w:trPr>
        <w:tc>
          <w:tcPr>
            <w:tcW w:w="1241" w:type="dxa"/>
            <w:vMerge w:val="restart"/>
            <w:vAlign w:val="center"/>
          </w:tcPr>
          <w:p>
            <w:pPr>
              <w:widowControl/>
              <w:adjustRightInd w:val="0"/>
              <w:snapToGrid w:val="0"/>
              <w:spacing w:line="240" w:lineRule="atLeas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家长</w:t>
            </w:r>
          </w:p>
        </w:tc>
        <w:tc>
          <w:tcPr>
            <w:tcW w:w="2430" w:type="dxa"/>
            <w:gridSpan w:val="4"/>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称呼</w:t>
            </w:r>
          </w:p>
        </w:tc>
        <w:tc>
          <w:tcPr>
            <w:tcW w:w="2441" w:type="dxa"/>
            <w:gridSpan w:val="3"/>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姓名</w:t>
            </w:r>
          </w:p>
        </w:tc>
        <w:tc>
          <w:tcPr>
            <w:tcW w:w="2962" w:type="dxa"/>
            <w:gridSpan w:val="4"/>
            <w:vAlign w:val="center"/>
          </w:tcPr>
          <w:p>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241" w:type="dxa"/>
            <w:vMerge w:val="continue"/>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lang w:val="en-US" w:eastAsia="zh-CN"/>
              </w:rPr>
            </w:pPr>
          </w:p>
        </w:tc>
        <w:tc>
          <w:tcPr>
            <w:tcW w:w="2430" w:type="dxa"/>
            <w:gridSpan w:val="4"/>
            <w:vAlign w:val="center"/>
          </w:tcPr>
          <w:p>
            <w:pPr>
              <w:widowControl/>
              <w:jc w:val="center"/>
              <w:rPr>
                <w:rFonts w:hint="eastAsia" w:ascii="仿宋_GB2312" w:hAnsi="仿宋_GB2312" w:eastAsia="仿宋_GB2312" w:cs="仿宋_GB2312"/>
                <w:color w:val="auto"/>
                <w:kern w:val="0"/>
                <w:sz w:val="24"/>
                <w:szCs w:val="24"/>
                <w:lang w:val="en-US" w:eastAsia="zh-CN" w:bidi="ar-SA"/>
              </w:rPr>
            </w:pPr>
          </w:p>
        </w:tc>
        <w:tc>
          <w:tcPr>
            <w:tcW w:w="2441" w:type="dxa"/>
            <w:gridSpan w:val="3"/>
            <w:vAlign w:val="center"/>
          </w:tcPr>
          <w:p>
            <w:pPr>
              <w:widowControl/>
              <w:jc w:val="center"/>
              <w:rPr>
                <w:rFonts w:hint="eastAsia" w:ascii="仿宋_GB2312" w:hAnsi="仿宋_GB2312" w:eastAsia="仿宋_GB2312" w:cs="仿宋_GB2312"/>
                <w:color w:val="auto"/>
                <w:kern w:val="0"/>
                <w:sz w:val="24"/>
                <w:szCs w:val="24"/>
                <w:lang w:val="en-US" w:eastAsia="zh-CN" w:bidi="ar-SA"/>
              </w:rPr>
            </w:pPr>
          </w:p>
        </w:tc>
        <w:tc>
          <w:tcPr>
            <w:tcW w:w="2962" w:type="dxa"/>
            <w:gridSpan w:val="4"/>
            <w:vAlign w:val="center"/>
          </w:tcPr>
          <w:p>
            <w:pPr>
              <w:widowControl/>
              <w:jc w:val="center"/>
              <w:rPr>
                <w:rFonts w:hint="eastAsia" w:ascii="仿宋_GB2312" w:hAnsi="仿宋_GB2312" w:eastAsia="仿宋_GB2312" w:cs="仿宋_GB2312"/>
                <w:color w:val="auto"/>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5" w:hRule="atLeast"/>
          <w:jc w:val="center"/>
        </w:trPr>
        <w:tc>
          <w:tcPr>
            <w:tcW w:w="1241" w:type="dxa"/>
            <w:vMerge w:val="continue"/>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lang w:val="en-US" w:eastAsia="zh-CN"/>
              </w:rPr>
            </w:pPr>
          </w:p>
        </w:tc>
        <w:tc>
          <w:tcPr>
            <w:tcW w:w="2430" w:type="dxa"/>
            <w:gridSpan w:val="4"/>
            <w:vAlign w:val="center"/>
          </w:tcPr>
          <w:p>
            <w:pPr>
              <w:widowControl/>
              <w:jc w:val="center"/>
              <w:rPr>
                <w:rFonts w:hint="eastAsia" w:ascii="仿宋_GB2312" w:hAnsi="仿宋_GB2312" w:eastAsia="仿宋_GB2312" w:cs="仿宋_GB2312"/>
                <w:color w:val="auto"/>
                <w:kern w:val="0"/>
                <w:sz w:val="24"/>
                <w:szCs w:val="24"/>
              </w:rPr>
            </w:pPr>
          </w:p>
        </w:tc>
        <w:tc>
          <w:tcPr>
            <w:tcW w:w="2441" w:type="dxa"/>
            <w:gridSpan w:val="3"/>
            <w:vAlign w:val="center"/>
          </w:tcPr>
          <w:p>
            <w:pPr>
              <w:widowControl/>
              <w:jc w:val="center"/>
              <w:rPr>
                <w:rFonts w:hint="eastAsia" w:ascii="仿宋_GB2312" w:hAnsi="仿宋_GB2312" w:eastAsia="仿宋_GB2312" w:cs="仿宋_GB2312"/>
                <w:color w:val="auto"/>
                <w:kern w:val="0"/>
                <w:sz w:val="24"/>
                <w:szCs w:val="24"/>
              </w:rPr>
            </w:pPr>
          </w:p>
        </w:tc>
        <w:tc>
          <w:tcPr>
            <w:tcW w:w="2962" w:type="dxa"/>
            <w:gridSpan w:val="4"/>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241" w:type="dxa"/>
            <w:vMerge w:val="restart"/>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寄</w:t>
            </w:r>
            <w:r>
              <w:rPr>
                <w:rFonts w:hint="eastAsia" w:ascii="仿宋_GB2312" w:hAnsi="仿宋_GB2312" w:eastAsia="仿宋_GB2312" w:cs="仿宋_GB2312"/>
                <w:color w:val="auto"/>
                <w:kern w:val="0"/>
                <w:sz w:val="24"/>
                <w:szCs w:val="24"/>
              </w:rPr>
              <w:t>　</w:t>
            </w:r>
            <w:r>
              <w:rPr>
                <w:rFonts w:hint="eastAsia" w:ascii="仿宋_GB2312" w:hAnsi="仿宋_GB2312" w:eastAsia="仿宋_GB2312" w:cs="仿宋_GB2312"/>
                <w:color w:val="auto"/>
                <w:kern w:val="0"/>
                <w:sz w:val="24"/>
                <w:szCs w:val="24"/>
                <w:lang w:val="en-US" w:eastAsia="zh-CN"/>
              </w:rPr>
              <w:t>学</w:t>
            </w:r>
          </w:p>
          <w:p>
            <w:pPr>
              <w:widowControl/>
              <w:adjustRightInd w:val="0"/>
              <w:snapToGrid w:val="0"/>
              <w:spacing w:line="240" w:lineRule="atLeas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宿</w:t>
            </w:r>
            <w:r>
              <w:rPr>
                <w:rFonts w:hint="eastAsia" w:ascii="仿宋_GB2312" w:hAnsi="仿宋_GB2312" w:eastAsia="仿宋_GB2312" w:cs="仿宋_GB2312"/>
                <w:color w:val="auto"/>
                <w:kern w:val="0"/>
                <w:sz w:val="24"/>
                <w:szCs w:val="24"/>
              </w:rPr>
              <w:t>　</w:t>
            </w:r>
            <w:r>
              <w:rPr>
                <w:rFonts w:hint="eastAsia" w:ascii="仿宋_GB2312" w:hAnsi="仿宋_GB2312" w:eastAsia="仿宋_GB2312" w:cs="仿宋_GB2312"/>
                <w:color w:val="auto"/>
                <w:kern w:val="0"/>
                <w:sz w:val="24"/>
                <w:szCs w:val="24"/>
                <w:lang w:val="en-US" w:eastAsia="zh-CN"/>
              </w:rPr>
              <w:t>校</w:t>
            </w: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制</w:t>
            </w:r>
            <w:r>
              <w:rPr>
                <w:rFonts w:hint="eastAsia" w:ascii="仿宋_GB2312" w:hAnsi="仿宋_GB2312" w:eastAsia="仿宋_GB2312" w:cs="仿宋_GB2312"/>
                <w:color w:val="auto"/>
                <w:kern w:val="0"/>
                <w:sz w:val="24"/>
                <w:szCs w:val="24"/>
              </w:rPr>
              <w:t>　志</w:t>
            </w: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愿</w:t>
            </w:r>
          </w:p>
          <w:p>
            <w:pPr>
              <w:widowControl/>
              <w:adjustRightInd w:val="0"/>
              <w:snapToGrid w:val="0"/>
              <w:spacing w:line="240" w:lineRule="atLeast"/>
              <w:ind w:firstLine="240" w:firstLineChars="10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6037" w:type="dxa"/>
            <w:gridSpan w:val="9"/>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 名 学 校</w:t>
            </w:r>
          </w:p>
        </w:tc>
        <w:tc>
          <w:tcPr>
            <w:tcW w:w="1796" w:type="dxa"/>
            <w:gridSpan w:val="2"/>
            <w:vAlign w:val="center"/>
          </w:tcPr>
          <w:p>
            <w:pPr>
              <w:widowControl/>
              <w:adjustRightInd w:val="0"/>
              <w:snapToGrid w:val="0"/>
              <w:spacing w:line="240" w:lineRule="atLeas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是否同意调剂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1241" w:type="dxa"/>
            <w:vMerge w:val="continue"/>
            <w:vAlign w:val="center"/>
          </w:tcPr>
          <w:p>
            <w:pPr>
              <w:widowControl/>
              <w:jc w:val="left"/>
              <w:rPr>
                <w:rFonts w:hint="eastAsia" w:ascii="仿宋_GB2312" w:hAnsi="仿宋_GB2312" w:eastAsia="仿宋_GB2312" w:cs="仿宋_GB2312"/>
                <w:color w:val="auto"/>
                <w:kern w:val="0"/>
                <w:sz w:val="24"/>
                <w:szCs w:val="24"/>
              </w:rPr>
            </w:pPr>
          </w:p>
        </w:tc>
        <w:tc>
          <w:tcPr>
            <w:tcW w:w="712"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w:t>
            </w:r>
          </w:p>
        </w:tc>
        <w:tc>
          <w:tcPr>
            <w:tcW w:w="5325" w:type="dxa"/>
            <w:gridSpan w:val="8"/>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c>
          <w:tcPr>
            <w:tcW w:w="1796" w:type="dxa"/>
            <w:gridSpan w:val="2"/>
            <w:vMerge w:val="restart"/>
            <w:vAlign w:val="center"/>
          </w:tcPr>
          <w:p>
            <w:pPr>
              <w:widowControl/>
              <w:jc w:val="center"/>
              <w:rPr>
                <w:rFonts w:hint="eastAsia" w:ascii="仿宋_GB2312" w:hAnsi="仿宋_GB2312" w:eastAsia="仿宋_GB2312" w:cs="仿宋_GB2312"/>
                <w:color w:val="auto"/>
                <w:kern w:val="0"/>
                <w:sz w:val="24"/>
                <w:szCs w:val="24"/>
              </w:rPr>
            </w:pPr>
          </w:p>
          <w:p>
            <w:pPr>
              <w:widowControl/>
              <w:jc w:val="center"/>
              <w:rPr>
                <w:rFonts w:hint="eastAsia" w:ascii="仿宋_GB2312" w:hAnsi="仿宋_GB2312" w:eastAsia="仿宋_GB2312" w:cs="仿宋_GB2312"/>
                <w:color w:val="auto"/>
                <w:kern w:val="0"/>
                <w:sz w:val="24"/>
                <w:szCs w:val="24"/>
              </w:rPr>
            </w:pPr>
          </w:p>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4" w:hRule="atLeast"/>
          <w:jc w:val="center"/>
        </w:trPr>
        <w:tc>
          <w:tcPr>
            <w:tcW w:w="1241" w:type="dxa"/>
            <w:vMerge w:val="continue"/>
            <w:vAlign w:val="center"/>
          </w:tcPr>
          <w:p>
            <w:pPr>
              <w:widowControl/>
              <w:jc w:val="left"/>
              <w:rPr>
                <w:rFonts w:hint="eastAsia" w:ascii="仿宋_GB2312" w:hAnsi="仿宋_GB2312" w:eastAsia="仿宋_GB2312" w:cs="仿宋_GB2312"/>
                <w:color w:val="auto"/>
                <w:kern w:val="0"/>
                <w:sz w:val="24"/>
                <w:szCs w:val="24"/>
              </w:rPr>
            </w:pPr>
          </w:p>
        </w:tc>
        <w:tc>
          <w:tcPr>
            <w:tcW w:w="712" w:type="dxa"/>
            <w:vAlign w:val="center"/>
          </w:tcPr>
          <w:p>
            <w:pPr>
              <w:widowControl/>
              <w:adjustRightInd w:val="0"/>
              <w:snapToGrid w:val="0"/>
              <w:spacing w:line="2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w:t>
            </w:r>
          </w:p>
        </w:tc>
        <w:tc>
          <w:tcPr>
            <w:tcW w:w="5325" w:type="dxa"/>
            <w:gridSpan w:val="8"/>
            <w:vAlign w:val="center"/>
          </w:tcPr>
          <w:p>
            <w:pPr>
              <w:widowControl/>
              <w:jc w:val="left"/>
              <w:rPr>
                <w:rFonts w:hint="eastAsia" w:ascii="仿宋_GB2312" w:hAnsi="仿宋_GB2312" w:eastAsia="仿宋_GB2312" w:cs="仿宋_GB2312"/>
                <w:color w:val="auto"/>
                <w:kern w:val="0"/>
                <w:sz w:val="24"/>
                <w:szCs w:val="24"/>
              </w:rPr>
            </w:pPr>
          </w:p>
        </w:tc>
        <w:tc>
          <w:tcPr>
            <w:tcW w:w="1796" w:type="dxa"/>
            <w:gridSpan w:val="2"/>
            <w:vMerge w:val="continue"/>
            <w:vAlign w:val="center"/>
          </w:tcPr>
          <w:p>
            <w:pPr>
              <w:widowControl/>
              <w:jc w:val="left"/>
              <w:rPr>
                <w:rFonts w:hint="eastAsia" w:ascii="仿宋_GB2312" w:hAnsi="仿宋_GB2312" w:eastAsia="仿宋_GB2312" w:cs="仿宋_GB2312"/>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0" w:hRule="atLeast"/>
          <w:jc w:val="center"/>
        </w:trPr>
        <w:tc>
          <w:tcPr>
            <w:tcW w:w="4541" w:type="dxa"/>
            <w:gridSpan w:val="6"/>
            <w:vAlign w:val="center"/>
          </w:tcPr>
          <w:p>
            <w:pPr>
              <w:widowControl/>
              <w:ind w:firstLine="720" w:firstLineChars="3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家长签名：</w:t>
            </w:r>
          </w:p>
        </w:tc>
        <w:tc>
          <w:tcPr>
            <w:tcW w:w="4533" w:type="dxa"/>
            <w:gridSpan w:val="6"/>
            <w:vAlign w:val="center"/>
          </w:tcPr>
          <w:p>
            <w:pPr>
              <w:widowControl/>
              <w:ind w:firstLine="720" w:firstLineChars="3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审核人签名：</w:t>
            </w:r>
          </w:p>
        </w:tc>
      </w:tr>
    </w:tbl>
    <w:p>
      <w:pPr>
        <w:widowControl/>
        <w:ind w:firstLine="480" w:firstLineChars="200"/>
        <w:jc w:val="left"/>
        <w:rPr>
          <w:rFonts w:hint="eastAsia" w:ascii="仿宋_GB2312" w:hAnsi="宋体"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注：</w:t>
      </w:r>
      <w:r>
        <w:rPr>
          <w:rFonts w:hint="eastAsia" w:ascii="仿宋_GB2312" w:hAnsi="仿宋_GB2312" w:eastAsia="仿宋_GB2312" w:cs="仿宋_GB2312"/>
          <w:color w:val="auto"/>
          <w:kern w:val="0"/>
          <w:sz w:val="24"/>
          <w:szCs w:val="24"/>
          <w:lang w:val="en-US" w:eastAsia="zh-CN"/>
        </w:rPr>
        <w:t>1.审核人要严格按照家长提供的法定证件进行信息审核。2.小升初号编码原则：一、二位为小学入学级别，三、四位为县区代码，五、六、七、八位为学校代码，最后四位是学生编号，顺序排列共十二位。3.实际居住地址和住址区域编号由家长如实填写，如有误责任自负。4</w:t>
      </w:r>
      <w:r>
        <w:rPr>
          <w:rFonts w:hint="eastAsia" w:ascii="仿宋_GB2312" w:hAnsi="宋体" w:eastAsia="仿宋_GB2312" w:cs="仿宋_GB2312"/>
          <w:color w:val="auto"/>
          <w:kern w:val="0"/>
          <w:sz w:val="24"/>
          <w:szCs w:val="24"/>
          <w:lang w:val="en-US" w:eastAsia="zh-CN"/>
        </w:rPr>
        <w:t>.</w:t>
      </w:r>
      <w:r>
        <w:rPr>
          <w:rFonts w:hint="eastAsia" w:ascii="仿宋_GB2312" w:hAnsi="宋体" w:eastAsia="仿宋_GB2312" w:cs="仿宋_GB2312"/>
          <w:color w:val="auto"/>
          <w:kern w:val="0"/>
          <w:sz w:val="24"/>
          <w:szCs w:val="24"/>
        </w:rPr>
        <w:t>市城区小学毕业生可选报</w:t>
      </w:r>
      <w:r>
        <w:rPr>
          <w:rFonts w:hint="eastAsia" w:ascii="仿宋_GB2312" w:hAnsi="宋体" w:eastAsia="仿宋_GB2312" w:cs="仿宋_GB2312"/>
          <w:color w:val="auto"/>
          <w:kern w:val="0"/>
          <w:sz w:val="24"/>
          <w:szCs w:val="24"/>
          <w:lang w:val="en-US" w:eastAsia="zh-CN"/>
        </w:rPr>
        <w:t>2</w:t>
      </w:r>
      <w:r>
        <w:rPr>
          <w:rFonts w:hint="eastAsia" w:ascii="仿宋_GB2312" w:hAnsi="宋体" w:eastAsia="仿宋_GB2312" w:cs="仿宋_GB2312"/>
          <w:color w:val="auto"/>
          <w:kern w:val="0"/>
          <w:sz w:val="24"/>
          <w:szCs w:val="24"/>
        </w:rPr>
        <w:t>所</w:t>
      </w:r>
      <w:r>
        <w:rPr>
          <w:rFonts w:hint="eastAsia" w:ascii="仿宋_GB2312" w:hAnsi="宋体" w:eastAsia="仿宋_GB2312" w:cs="仿宋_GB2312"/>
          <w:color w:val="auto"/>
          <w:kern w:val="0"/>
          <w:sz w:val="24"/>
          <w:szCs w:val="24"/>
          <w:lang w:val="en-US" w:eastAsia="zh-CN"/>
        </w:rPr>
        <w:t>寄宿制初中</w:t>
      </w:r>
      <w:r>
        <w:rPr>
          <w:rFonts w:hint="eastAsia" w:ascii="仿宋_GB2312" w:hAnsi="宋体" w:eastAsia="仿宋_GB2312" w:cs="仿宋_GB2312"/>
          <w:color w:val="auto"/>
          <w:kern w:val="0"/>
          <w:sz w:val="24"/>
          <w:szCs w:val="24"/>
        </w:rPr>
        <w:t>学校分别为第一志愿和第二志愿</w:t>
      </w:r>
      <w:r>
        <w:rPr>
          <w:rFonts w:hint="eastAsia" w:ascii="仿宋_GB2312" w:hAnsi="宋体" w:eastAsia="仿宋_GB2312" w:cs="仿宋_GB2312"/>
          <w:color w:val="auto"/>
          <w:kern w:val="0"/>
          <w:sz w:val="24"/>
          <w:szCs w:val="24"/>
          <w:lang w:eastAsia="zh-CN"/>
        </w:rPr>
        <w:t>，</w:t>
      </w:r>
      <w:r>
        <w:rPr>
          <w:rFonts w:hint="eastAsia" w:ascii="仿宋_GB2312" w:hAnsi="宋体" w:eastAsia="仿宋_GB2312" w:cs="仿宋_GB2312"/>
          <w:color w:val="auto"/>
          <w:kern w:val="0"/>
          <w:sz w:val="24"/>
          <w:szCs w:val="24"/>
          <w:lang w:val="en-US" w:eastAsia="zh-CN"/>
        </w:rPr>
        <w:t>如无寄宿制志愿请在报名学校栏中填“无”</w:t>
      </w:r>
      <w:r>
        <w:rPr>
          <w:rFonts w:hint="eastAsia"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lang w:val="en-US" w:eastAsia="zh-CN"/>
        </w:rPr>
        <w:t>5</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对于第一志愿未能录取又无第二志愿或第二志愿也未能录取又不同意调剂或同意调剂仍未能录取的学生可参加公办</w:t>
      </w:r>
      <w:r>
        <w:rPr>
          <w:rFonts w:hint="eastAsia" w:ascii="仿宋_GB2312" w:hAnsi="宋体" w:eastAsia="仿宋_GB2312" w:cs="仿宋_GB2312"/>
          <w:color w:val="auto"/>
          <w:kern w:val="0"/>
          <w:sz w:val="24"/>
          <w:szCs w:val="24"/>
          <w:lang w:val="en-US" w:eastAsia="zh-CN"/>
        </w:rPr>
        <w:t>走读初中</w:t>
      </w:r>
      <w:r>
        <w:rPr>
          <w:rFonts w:hint="eastAsia" w:ascii="仿宋_GB2312" w:hAnsi="宋体" w:eastAsia="仿宋_GB2312" w:cs="仿宋_GB2312"/>
          <w:color w:val="auto"/>
          <w:kern w:val="0"/>
          <w:sz w:val="24"/>
          <w:szCs w:val="24"/>
        </w:rPr>
        <w:t>学校统一划片招生，仍然具有分配生资格。</w:t>
      </w:r>
      <w:r>
        <w:rPr>
          <w:rFonts w:hint="eastAsia" w:ascii="仿宋_GB2312" w:hAnsi="宋体" w:eastAsia="仿宋_GB2312" w:cs="仿宋_GB2312"/>
          <w:color w:val="auto"/>
          <w:kern w:val="0"/>
          <w:sz w:val="24"/>
          <w:szCs w:val="24"/>
          <w:lang w:val="en-US" w:eastAsia="zh-CN"/>
        </w:rPr>
        <w:t>6</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被学校录取而逾期不报到的，市教</w:t>
      </w:r>
      <w:r>
        <w:rPr>
          <w:rFonts w:hint="eastAsia" w:ascii="仿宋_GB2312" w:hAnsi="宋体" w:eastAsia="仿宋_GB2312" w:cs="仿宋_GB2312"/>
          <w:color w:val="auto"/>
          <w:kern w:val="0"/>
          <w:sz w:val="24"/>
          <w:szCs w:val="24"/>
          <w:lang w:val="en-US" w:eastAsia="zh-CN"/>
        </w:rPr>
        <w:t>体</w:t>
      </w:r>
      <w:r>
        <w:rPr>
          <w:rFonts w:hint="eastAsia" w:ascii="仿宋_GB2312" w:hAnsi="宋体" w:eastAsia="仿宋_GB2312" w:cs="仿宋_GB2312"/>
          <w:color w:val="auto"/>
          <w:kern w:val="0"/>
          <w:sz w:val="24"/>
          <w:szCs w:val="24"/>
        </w:rPr>
        <w:t>局不再负责统一分配，其他学校接收的按择校生对待，不再具有分配生资格</w:t>
      </w:r>
      <w:r>
        <w:rPr>
          <w:rFonts w:hint="eastAsia" w:ascii="仿宋_GB2312" w:hAnsi="宋体" w:eastAsia="仿宋_GB2312" w:cs="仿宋_GB2312"/>
          <w:color w:val="auto"/>
          <w:kern w:val="0"/>
          <w:sz w:val="24"/>
          <w:szCs w:val="24"/>
          <w:lang w:eastAsia="zh-CN"/>
        </w:rPr>
        <w:t>。</w:t>
      </w:r>
    </w:p>
    <w:p/>
    <w:sectPr>
      <w:footerReference r:id="rId3" w:type="default"/>
      <w:pgSz w:w="11906" w:h="16838"/>
      <w:pgMar w:top="1984" w:right="1474"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jRiNzQxN2M2MDA1MTZhMTVkNjBkODllZWMwZDIifQ=="/>
  </w:docVars>
  <w:rsids>
    <w:rsidRoot w:val="62944D67"/>
    <w:rsid w:val="3CA65674"/>
    <w:rsid w:val="6294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2022-06-07T01:24:00Z</dcterms:created>
  <dc:creator>徐晓旭</dc:creator>
  <cp:lastModifiedBy>徐晓旭</cp:lastModifiedBy>
  <dcterms:modified xsi:type="dcterms:W3CDTF">2022-06-07T01:26:38Z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30B69110685B4052BBFC6D6D4193BF65</vt:lpwstr>
  </property>
</Properties>
</file>