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w:t>
      </w:r>
      <w:bookmarkStart w:id="0" w:name="_GoBack"/>
      <w:bookmarkEnd w:id="0"/>
      <w:r>
        <w:rPr>
          <w:rFonts w:hint="eastAsia" w:ascii="方正小标宋_GBK" w:hAnsi="方正小标宋_GBK" w:eastAsia="方正小标宋_GBK" w:cs="方正小标宋_GBK"/>
          <w:sz w:val="44"/>
          <w:szCs w:val="44"/>
          <w:lang w:val="en-US" w:eastAsia="zh-CN"/>
        </w:rPr>
        <w:t>23年“赶考路上有我”主题实践活动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参赛要求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一、“描绘出彩中原画卷——书画摄影大赛”作品要求</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1.作品主题和内容要坚持以习近平新时代中国特色社会主义思想为指导，深入贯彻党的二十大精神，着力突出“赶考路上有我”时代主题，充分展现新时代十年的伟大变革，见证党的二十大精神转化为中原儿女的生动实践，描绘人民群众共建共享、追求幸福生活的美好画卷。</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2.作品要彰显中华美学精神和社会主义核心价值观，抵制低俗庸俗媚俗，追求真善美，传递正能量。报送作品一律为作者原创作品，严禁使用高仿、抄袭他人、复制作品参赛，否则造成任何法律纠纷或责任，作者自负，并取消其参赛资格。</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 xml:space="preserve">3.书法绘画类每位作者只限1幅作品参评，作品电子版照片像素不能低于3M；摄影类每人限投1幅摄影作品，组照每组限4幅，投稿作品为jpg格式，分辨率不低于300dpi，大小不高于20M，达到印刷出版基本要求，不接受合成图片及电脑技术修改制作的作品。每幅（组）作品需附文字说明（100字以内，包括作品拍摄时间、地点、呈现的内容等）。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 xml:space="preserve">4.每幅作品投稿时均需以“姓名、作品名称、联系方式、单位”的方式重命名，进入终评的，要求报送原作。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5.主办单位对参赛作品有展览、研究、摄像、录像、出版及宣传权。凡报送作品参赛、参展作者，视为已确认并遵守本通知各项规定。</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 xml:space="preserve">6.原作要求：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 xml:space="preserve">（1）中国画、书法作品尺寸为四尺斗方68cm*68cm，或四尺整张（竖幅）138cm*68cm，油画及其他画种作品尺寸为50cm*60cm。作品背面右下角用铅笔正楷注明作者真实姓名、性别、身份证号、通讯地址和联系方式。草书和篆书作品需附释文。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 xml:space="preserve">（2）为便于评审、装裱和展示，投稿的书法、绘画作品应选择高质量专业书画用纸，避免使用易折断、破损的纸张。所有投稿作品请勿托裱或装裱。评审主要考察作者的创作水准，不主张和鼓励过度拼接粘贴、染色做旧、故意涂抹等形式方面的制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二、“讲好出彩中原故事——演讲比赛”要求</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 xml:space="preserve">1.主题鲜明，导向正确。坚持以习近平新时代中国特色社会主义思想为指导，紧紧围绕“赶考路上有我”主题，依托先进典型案例，弘扬主旋律、传播正能量，全面展现新时代中原儿女奋进新征程、建功新时代的昂扬斗志。 </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2.内容生动，语言鲜活。作品内容充实、事例生动，结构严谨、逻辑清晰，善用网言网语、诗词典故、乡音俚语，体现生动性，富有感染力，能在群众中产生共鸣。</w:t>
      </w:r>
    </w:p>
    <w:p>
      <w:pPr>
        <w:ind w:firstLine="640" w:firstLineChars="200"/>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sz w:val="32"/>
          <w:szCs w:val="32"/>
          <w:lang w:val="en-US" w:eastAsia="zh-CN"/>
        </w:rPr>
        <w:t>3.表达规范，感情充沛。语言表达准确规范、流畅自然，节奏张弛有度，情感真实饱满。</w:t>
      </w:r>
      <w:r>
        <w:rPr>
          <w:rFonts w:hint="eastAsia" w:ascii="仿宋_GB2312" w:hAnsi="仿宋_GB2312" w:eastAsia="仿宋_GB2312" w:cs="仿宋_GB2312"/>
          <w:b w:val="0"/>
          <w:i w:val="0"/>
          <w:color w:val="000000"/>
          <w:kern w:val="0"/>
          <w:sz w:val="32"/>
          <w:szCs w:val="32"/>
          <w:lang w:val="en-US" w:eastAsia="zh-CN"/>
        </w:rPr>
        <w:t xml:space="preserve">演讲需脱稿，可以有 PPT、音视频等辅助方式，但镜头不能离开演讲者。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 xml:space="preserve">4.仪态端庄，形象得体。仪态端庄大方，着装干净整洁，举止自然得体，能较好地运用表情动作等肢体语言，营造良好的个人形象和上镜效果。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5.视频录制须使用MP4格式，高清1920+1080 横屏拍摄，图像、声音清晰，不抖动、无噪音，时长不超过8分钟，同时报送300字以内的演讲者个人简介和演讲视频内容的文字版。视频文字建议使用方正字库字体，视频中不得使用未经肖像权人同意的肖像，不得使用未经授权的图片和视频。</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i w:val="0"/>
          <w:color w:val="000000"/>
          <w:kern w:val="0"/>
          <w:sz w:val="32"/>
          <w:szCs w:val="32"/>
          <w:lang w:val="en-US" w:eastAsia="zh-CN"/>
        </w:rPr>
      </w:pPr>
      <w:r>
        <w:rPr>
          <w:rFonts w:hint="eastAsia" w:ascii="仿宋_GB2312" w:hAnsi="仿宋_GB2312" w:eastAsia="仿宋_GB2312" w:cs="仿宋_GB2312"/>
          <w:b w:val="0"/>
          <w:i w:val="0"/>
          <w:color w:val="000000"/>
          <w:kern w:val="0"/>
          <w:sz w:val="32"/>
          <w:szCs w:val="32"/>
          <w:lang w:val="en-US" w:eastAsia="zh-CN"/>
        </w:rPr>
        <w:t xml:space="preserve">6.主办方享有参赛作品的展示、出版、汇编、发行及网络传播等权利，参赛者享有署名权。 </w:t>
      </w:r>
    </w:p>
    <w:p/>
    <w:p/>
    <w:p/>
    <w:p/>
    <w:p/>
    <w:p/>
    <w:p/>
    <w:p/>
    <w:p/>
    <w:p/>
    <w:p/>
    <w:p/>
    <w:p/>
    <w:p/>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
        </w:rPr>
        <w:t>“赶考路上有我”主题</w:t>
      </w:r>
      <w:r>
        <w:rPr>
          <w:rFonts w:hint="eastAsia" w:ascii="方正小标宋_GBK" w:hAnsi="方正小标宋_GBK" w:eastAsia="方正小标宋_GBK" w:cs="方正小标宋_GBK"/>
          <w:sz w:val="44"/>
          <w:szCs w:val="44"/>
          <w:lang w:val="en-US" w:eastAsia="zh-CN"/>
        </w:rPr>
        <w:t>实践</w:t>
      </w:r>
      <w:r>
        <w:rPr>
          <w:rFonts w:hint="eastAsia" w:ascii="方正小标宋_GBK" w:hAnsi="方正小标宋_GBK" w:eastAsia="方正小标宋_GBK" w:cs="方正小标宋_GBK"/>
          <w:sz w:val="44"/>
          <w:szCs w:val="44"/>
          <w:lang w:val="en"/>
        </w:rPr>
        <w:t>活动推荐</w:t>
      </w:r>
      <w:r>
        <w:rPr>
          <w:rFonts w:hint="eastAsia" w:ascii="方正小标宋_GBK" w:hAnsi="方正小标宋_GBK" w:eastAsia="方正小标宋_GBK" w:cs="方正小标宋_GBK"/>
          <w:sz w:val="44"/>
          <w:szCs w:val="44"/>
          <w:lang w:val="en-US" w:eastAsia="zh-CN"/>
        </w:rPr>
        <w:t>作品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
        </w:rPr>
        <w:t>名额分配表</w:t>
      </w:r>
    </w:p>
    <w:tbl>
      <w:tblPr>
        <w:tblStyle w:val="3"/>
        <w:tblpPr w:leftFromText="180" w:rightFromText="180" w:vertAnchor="text" w:horzAnchor="page" w:tblpXSpec="center" w:tblpY="514"/>
        <w:tblOverlap w:val="never"/>
        <w:tblW w:w="10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1252"/>
        <w:gridCol w:w="1279"/>
        <w:gridCol w:w="1130"/>
        <w:gridCol w:w="1089"/>
        <w:gridCol w:w="1538"/>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992" w:type="dxa"/>
            <w:vMerge w:val="restart"/>
            <w:noWrap w:val="0"/>
            <w:vAlign w:val="center"/>
          </w:tcPr>
          <w:p>
            <w:pPr>
              <w:jc w:val="center"/>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单</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val="en" w:eastAsia="zh-CN"/>
              </w:rPr>
              <w:t>位</w:t>
            </w:r>
          </w:p>
        </w:tc>
        <w:tc>
          <w:tcPr>
            <w:tcW w:w="253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书法</w:t>
            </w:r>
          </w:p>
        </w:tc>
        <w:tc>
          <w:tcPr>
            <w:tcW w:w="22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绘画</w:t>
            </w:r>
          </w:p>
        </w:tc>
        <w:tc>
          <w:tcPr>
            <w:tcW w:w="15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摄影</w:t>
            </w: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 w:eastAsia="zh-CN"/>
              </w:rPr>
            </w:pPr>
            <w:r>
              <w:rPr>
                <w:rFonts w:hint="eastAsia" w:ascii="黑体" w:hAnsi="黑体" w:eastAsia="黑体" w:cs="黑体"/>
                <w:b w:val="0"/>
                <w:bCs w:val="0"/>
                <w:sz w:val="28"/>
                <w:szCs w:val="28"/>
                <w:vertAlign w:val="baseline"/>
                <w:lang w:val="en" w:eastAsia="zh-CN"/>
              </w:rPr>
              <w:t>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9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252" w:type="dxa"/>
            <w:noWrap w:val="0"/>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成人组</w:t>
            </w:r>
          </w:p>
        </w:tc>
        <w:tc>
          <w:tcPr>
            <w:tcW w:w="1279" w:type="dxa"/>
            <w:noWrap w:val="0"/>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学生组</w:t>
            </w:r>
          </w:p>
        </w:tc>
        <w:tc>
          <w:tcPr>
            <w:tcW w:w="1130" w:type="dxa"/>
            <w:noWrap w:val="0"/>
            <w:vAlign w:val="center"/>
          </w:tcPr>
          <w:p>
            <w:pPr>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成人组</w:t>
            </w:r>
          </w:p>
        </w:tc>
        <w:tc>
          <w:tcPr>
            <w:tcW w:w="1089" w:type="dxa"/>
            <w:noWrap w:val="0"/>
            <w:vAlign w:val="center"/>
          </w:tcPr>
          <w:p>
            <w:pPr>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学生组</w:t>
            </w:r>
          </w:p>
        </w:tc>
        <w:tc>
          <w:tcPr>
            <w:tcW w:w="1538" w:type="dxa"/>
            <w:noWrap w:val="0"/>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成人组</w:t>
            </w:r>
          </w:p>
        </w:tc>
        <w:tc>
          <w:tcPr>
            <w:tcW w:w="1698" w:type="dxa"/>
            <w:noWrap w:val="0"/>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成人组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汝州市教体局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27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130"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08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538"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舞钢市教体局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27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130"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08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538"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宝丰县</w:t>
            </w:r>
            <w:r>
              <w:rPr>
                <w:rFonts w:hint="eastAsia" w:ascii="仿宋_GB2312" w:hAnsi="仿宋_GB2312" w:eastAsia="仿宋_GB2312" w:cs="仿宋_GB2312"/>
                <w:sz w:val="28"/>
                <w:szCs w:val="28"/>
                <w:vertAlign w:val="baseline"/>
                <w:lang w:val="en-US" w:eastAsia="zh-CN"/>
              </w:rPr>
              <w:t>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27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130"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08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538"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郏县</w:t>
            </w:r>
            <w:r>
              <w:rPr>
                <w:rFonts w:hint="eastAsia" w:ascii="仿宋_GB2312" w:hAnsi="仿宋_GB2312" w:eastAsia="仿宋_GB2312" w:cs="仿宋_GB2312"/>
                <w:sz w:val="28"/>
                <w:szCs w:val="28"/>
                <w:vertAlign w:val="baseline"/>
                <w:lang w:val="en-US" w:eastAsia="zh-CN"/>
              </w:rPr>
              <w:t>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27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130"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08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538"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鲁山县</w:t>
            </w:r>
            <w:r>
              <w:rPr>
                <w:rFonts w:hint="eastAsia" w:ascii="仿宋_GB2312" w:hAnsi="仿宋_GB2312" w:eastAsia="仿宋_GB2312" w:cs="仿宋_GB2312"/>
                <w:sz w:val="28"/>
                <w:szCs w:val="28"/>
                <w:vertAlign w:val="baseline"/>
                <w:lang w:val="en-US" w:eastAsia="zh-CN"/>
              </w:rPr>
              <w:t>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27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130"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08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538"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叶县</w:t>
            </w:r>
            <w:r>
              <w:rPr>
                <w:rFonts w:hint="eastAsia" w:ascii="仿宋_GB2312" w:hAnsi="仿宋_GB2312" w:eastAsia="仿宋_GB2312" w:cs="仿宋_GB2312"/>
                <w:sz w:val="28"/>
                <w:szCs w:val="28"/>
                <w:vertAlign w:val="baseline"/>
                <w:lang w:val="en-US" w:eastAsia="zh-CN"/>
              </w:rPr>
              <w:t>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27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130"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08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538"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10</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新华区</w:t>
            </w:r>
            <w:r>
              <w:rPr>
                <w:rFonts w:hint="eastAsia" w:ascii="仿宋_GB2312" w:hAnsi="仿宋_GB2312" w:eastAsia="仿宋_GB2312" w:cs="仿宋_GB2312"/>
                <w:sz w:val="28"/>
                <w:szCs w:val="28"/>
                <w:vertAlign w:val="baseline"/>
                <w:lang w:val="en-US" w:eastAsia="zh-CN"/>
              </w:rPr>
              <w:t>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4</w:t>
            </w:r>
          </w:p>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27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130"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4</w:t>
            </w:r>
          </w:p>
        </w:tc>
        <w:tc>
          <w:tcPr>
            <w:tcW w:w="108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53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卫东区</w:t>
            </w:r>
            <w:r>
              <w:rPr>
                <w:rFonts w:hint="eastAsia" w:ascii="仿宋_GB2312" w:hAnsi="仿宋_GB2312" w:eastAsia="仿宋_GB2312" w:cs="仿宋_GB2312"/>
                <w:sz w:val="28"/>
                <w:szCs w:val="28"/>
                <w:vertAlign w:val="baseline"/>
                <w:lang w:val="en-US" w:eastAsia="zh-CN"/>
              </w:rPr>
              <w:t>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4</w:t>
            </w:r>
          </w:p>
        </w:tc>
        <w:tc>
          <w:tcPr>
            <w:tcW w:w="127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130"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4</w:t>
            </w:r>
          </w:p>
        </w:tc>
        <w:tc>
          <w:tcPr>
            <w:tcW w:w="108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53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湛河区</w:t>
            </w:r>
            <w:r>
              <w:rPr>
                <w:rFonts w:hint="eastAsia" w:ascii="仿宋_GB2312" w:hAnsi="仿宋_GB2312" w:eastAsia="仿宋_GB2312" w:cs="仿宋_GB2312"/>
                <w:sz w:val="28"/>
                <w:szCs w:val="28"/>
                <w:vertAlign w:val="baseline"/>
                <w:lang w:val="en-US" w:eastAsia="zh-CN"/>
              </w:rPr>
              <w:t>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4</w:t>
            </w:r>
          </w:p>
        </w:tc>
        <w:tc>
          <w:tcPr>
            <w:tcW w:w="127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130"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4</w:t>
            </w:r>
          </w:p>
        </w:tc>
        <w:tc>
          <w:tcPr>
            <w:tcW w:w="108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53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石龙区</w:t>
            </w:r>
            <w:r>
              <w:rPr>
                <w:rFonts w:hint="eastAsia" w:ascii="仿宋_GB2312" w:hAnsi="仿宋_GB2312" w:eastAsia="仿宋_GB2312" w:cs="仿宋_GB2312"/>
                <w:sz w:val="28"/>
                <w:szCs w:val="28"/>
                <w:vertAlign w:val="baseline"/>
                <w:lang w:val="en-US" w:eastAsia="zh-CN"/>
              </w:rPr>
              <w:t>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127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130"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108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53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新城区</w:t>
            </w:r>
            <w:r>
              <w:rPr>
                <w:rFonts w:hint="eastAsia" w:ascii="仿宋_GB2312" w:hAnsi="仿宋_GB2312" w:eastAsia="仿宋_GB2312" w:cs="仿宋_GB2312"/>
                <w:sz w:val="28"/>
                <w:szCs w:val="28"/>
                <w:vertAlign w:val="baseline"/>
                <w:lang w:val="en-US" w:eastAsia="zh-CN"/>
              </w:rPr>
              <w:t>教体局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4</w:t>
            </w:r>
          </w:p>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854</w:t>
            </w:r>
          </w:p>
        </w:tc>
        <w:tc>
          <w:tcPr>
            <w:tcW w:w="127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130"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4</w:t>
            </w:r>
          </w:p>
        </w:tc>
        <w:tc>
          <w:tcPr>
            <w:tcW w:w="108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53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8</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高新区农社局</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1279" w:type="dxa"/>
            <w:noWrap w:val="0"/>
            <w:vAlign w:val="center"/>
          </w:tcPr>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130"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108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53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5</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992" w:type="dxa"/>
            <w:noWrap w:val="0"/>
            <w:vAlign w:val="top"/>
          </w:tcPr>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局属学校</w:t>
            </w:r>
          </w:p>
        </w:tc>
        <w:tc>
          <w:tcPr>
            <w:tcW w:w="1252"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2</w:t>
            </w:r>
          </w:p>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352</w:t>
            </w:r>
          </w:p>
        </w:tc>
        <w:tc>
          <w:tcPr>
            <w:tcW w:w="127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1130"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2</w:t>
            </w:r>
          </w:p>
        </w:tc>
        <w:tc>
          <w:tcPr>
            <w:tcW w:w="1089"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153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2992" w:type="dxa"/>
            <w:noWrap w:val="0"/>
            <w:vAlign w:val="top"/>
          </w:tcPr>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机关科室及二级机构</w:t>
            </w:r>
          </w:p>
        </w:tc>
        <w:tc>
          <w:tcPr>
            <w:tcW w:w="2531" w:type="dxa"/>
            <w:gridSpan w:val="2"/>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p>
            <w:pPr>
              <w:jc w:val="center"/>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15</w:t>
            </w:r>
          </w:p>
        </w:tc>
        <w:tc>
          <w:tcPr>
            <w:tcW w:w="2219" w:type="dxa"/>
            <w:gridSpan w:val="2"/>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153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1698" w:type="dxa"/>
            <w:noWrap w:val="0"/>
            <w:vAlign w:val="center"/>
          </w:tcPr>
          <w:p>
            <w:pPr>
              <w:jc w:val="center"/>
              <w:rPr>
                <w:rFonts w:hint="default"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MWM5YzQzODRlZjZlN2E3OTc2MjQ5MjU1YzNjMDQifQ=="/>
  </w:docVars>
  <w:rsids>
    <w:rsidRoot w:val="67BF36F9"/>
    <w:rsid w:val="67BF36F9"/>
    <w:rsid w:val="73716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2023-03-27T06:55:00Z</dcterms:created>
  <dc:creator>Administrator</dc:creator>
  <cp:lastModifiedBy>Administrator</cp:lastModifiedBy>
  <dcterms:modified xsi:type="dcterms:W3CDTF">2023-03-27T06:57:52Z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C1CF1120627443E598388D141ADD59FE</vt:lpwstr>
  </property>
</Properties>
</file>