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巴里坤县2024-2026年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银龄计划教师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eastAsia="方正小标宋简体"/>
          <w:color w:val="000000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招聘公告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为深入贯彻落实《中共中央、国务院关于全面深化新时代教师队伍建设改革的意见》精神，充分利用退休教师优势资源，解决学校专业教师短缺问题，进一步提高中小学教育质量，结合巴里坤县实际，实施百名银龄教师招聘计划，具体公告如下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</w:rPr>
        <w:t>一、</w:t>
      </w: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lang w:eastAsia="zh-CN"/>
        </w:rPr>
        <w:t>招聘</w:t>
      </w:r>
      <w:r>
        <w:rPr>
          <w:rFonts w:hint="eastAsia" w:ascii="黑体" w:hAnsi="黑体" w:eastAsia="黑体"/>
          <w:b/>
          <w:bCs w:val="0"/>
          <w:color w:val="000000"/>
          <w:sz w:val="32"/>
          <w:szCs w:val="32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工作遵循“公开、公平、自愿、择优”和“定校、定岗”原则。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</w:rPr>
        <w:t>二、</w:t>
      </w: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lang w:eastAsia="zh-CN"/>
        </w:rPr>
        <w:t>招聘</w:t>
      </w:r>
      <w:r>
        <w:rPr>
          <w:rFonts w:hint="eastAsia" w:ascii="黑体" w:hAnsi="黑体" w:eastAsia="黑体"/>
          <w:b/>
          <w:bCs w:val="0"/>
          <w:color w:val="000000"/>
          <w:sz w:val="32"/>
          <w:szCs w:val="32"/>
        </w:rPr>
        <w:t>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color w:val="000000"/>
          <w:sz w:val="32"/>
          <w:szCs w:val="32"/>
          <w:shd w:val="clear" w:color="FFFFFF" w:fill="D9D9D9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2024-2026年计划招聘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100名，其中：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招聘紧缺专业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36名，整班制招聘教师11名，整年级制招聘教师14名，整校制招聘教师24名，招聘名校长8名（含集团校校长2名），招聘县教育局教研员7名，具体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岗位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及专业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见附件。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2024年争取招聘教师及校长岗位名额的三分之一，整班制招聘1个班级，整年级制招聘1个年级，整校制招聘1所学校，教研员根据报名情况确定招聘人数。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lang w:eastAsia="zh-CN"/>
        </w:rPr>
        <w:t>三、招聘待遇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按月发放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工作补助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，每年按照十个月计算。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lang w:eastAsia="zh-CN"/>
        </w:rPr>
        <w:t>四、招聘对象及</w:t>
      </w:r>
      <w:r>
        <w:rPr>
          <w:rFonts w:hint="eastAsia" w:ascii="黑体" w:hAnsi="黑体" w:eastAsia="黑体"/>
          <w:b/>
          <w:bCs w:val="0"/>
          <w:color w:val="000000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eastAsia="zh-CN"/>
        </w:rPr>
        <w:t>（一）招聘对象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1.教师：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面向全国退休教师，热爱教育事业，认真贯彻落实党的教育方针，具有先进教育教学理念；师德高尚，甘于奉献，长期在教学一线任教，曾获得本教学领域市级及以上名师、学科带头人、教学能手等荣誉称号，哈密市域退休教师获得本教学领域区县级名师、学科带头人、教学能手等荣誉称号，在社会上综合评价满意度较高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（1）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eastAsia="zh-CN"/>
        </w:rPr>
        <w:t>紧缺专业招聘：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根据各中小学教师短缺情况，招聘紧缺专业教师。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（2）整班制招聘：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招聘小学、初中各一个班级主要学科教师，由招聘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教师以整体包班形式开展工作，主要负责班级教育教学、学生管理、家校联系等工作。计划试运行一年，后期根据教学成效进行推广。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（3）整年级制招聘：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整体招聘小学、初中各一个年级主要学科教师，由招聘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教师以整体包年级形式开展工作，主要负责本年级教育教学、教研活动、学生管理、家校联系等工作。计划试运行一年，后期根据教学成效进行推广。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default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（4）整校制招聘：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针对我县学校在校生少于100人的乡村小规模学校，由招聘全学科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教师及校长，以整体包校形式开展工作，负责承担所有教育教学、教研活动及学校日常管理等工作。计划试运行一年。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2.校长：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面向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全国退休书记、校长，热爱教育事业，熟悉教育教学方针政策，学校管理经验丰富，曾获得市级及以上名书记、名校长荣誉称号，哈密市域退休书记、校长获得区县名书记、名校长荣誉称号，在社会上综合评价满意度较高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lang w:val="en-US" w:eastAsia="zh-CN"/>
        </w:rPr>
        <w:t>3.教育局教研员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：面向全国退休教师、教研员，热爱教育事业，具有10年以上一线教育教学工作经历，有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5年以上区县级教研员工作经历的优先考虑。中学至少完成初中一个完整学段循环教学，小学须承担过毕业年级教学工作，具有较强的教育科研能力和业务能力，曾获得本教学领域市级以上名师、学科带头人、教学能手等荣誉称号，哈密市域退休教师获得本教学领域区县级名师、学科带头人、教学能手等荣誉称号。（可根据报名实际情况酌情调整学科或人数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eastAsia="zh-CN"/>
        </w:rPr>
        <w:t>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color w:val="auto"/>
          <w:sz w:val="32"/>
          <w:szCs w:val="32"/>
          <w:shd w:val="clear" w:color="auto" w:fill="auto"/>
          <w:lang w:val="en-US" w:eastAsia="zh-CN"/>
        </w:rPr>
        <w:t>1.基本条件：</w:t>
      </w:r>
      <w:r>
        <w:rPr>
          <w:rFonts w:hint="eastAsia" w:ascii="仿宋_GB2312" w:hAns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具有中华人民共和国国籍，政治思想素质好，热爱祖国，拥护中国共产党的领导，自觉维护民族团结，品行端正，无违法犯罪记录，志愿从事教育工作，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具有良好的身体素质和心理素质，以及具有一定的心理辅导和教育能力，</w:t>
      </w:r>
      <w:r>
        <w:rPr>
          <w:rFonts w:hint="eastAsia" w:ascii="仿宋_GB2312" w:hAnsi="仿宋_GB2312" w:eastAsia="仿宋_GB2312"/>
          <w:color w:val="auto"/>
          <w:sz w:val="32"/>
          <w:szCs w:val="32"/>
          <w:shd w:val="clear" w:color="auto" w:fill="auto"/>
          <w:lang w:val="en-US" w:eastAsia="zh-CN"/>
        </w:rPr>
        <w:t>作风扎实，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能够完全胜任教育教学工作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学校管理或班级管理经验丰富。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2.年龄要求：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招聘银龄计划教师（书记、校长）年龄要求：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男在62（含）周岁以下，女在57（含）周岁以下，计算时间截止2024年2月20日。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3.专业要求：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具有相关专业学历及学科教师资格证书，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语文学科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普通话水平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达到二级甲等及以上，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其他学科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普通话水平达到二级乙等及以上，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应具有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一定的信息技术能力和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级及以上教师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专业技术职务任职资格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eastAsia="zh-CN"/>
        </w:rPr>
        <w:t>（三）招聘形式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根据专业教师实际短缺情况，设定招聘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教师条件，采取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网上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资格审查（毕业证、身份证、教师资格证、普通话证、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退休文件、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政治审查、获奖证书等）、现场面试、试讲等环节进行招聘。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在全市范围内遴选教育专家组成评审小组（其中县域内评审人员不超过三分之一），对现场面试和试讲进行考察评价。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  <w:t>五</w:t>
      </w: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</w:rPr>
        <w:t>、岗位职责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（一）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按照“需求为本、形式灵活”的原则，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教师要服从学校工作安排，主要从事教育教学工作，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做好班级教学管理，确保课堂教学效果。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根据自己的专业特长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进行授课、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评课、开设公开课、研讨课或专题讲座，指导青年教师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组织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开展教研活动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发挥示范和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引领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作用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。同时结合学情积极进行家访，主动了解学生家庭情况，做好家长工作，促进家校共育。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（二）整校制招聘的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，要发挥团队整体作用， 共同做好学校管理、教育教学质量提升、学生管理和家长工作等。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（三）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的集团校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校长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要统筹规划办学集团的整体工作，协同龙头校和成员校书记、校长制定工作职责，蹲点调研各学校教学基本情况，因地制宜，整体设计集团校发展规划。负责指导各成员校开展学校管理、教师专业化成长、大教研活动、校本培训、教师支教交流、教学质量分析评价等工作，带动学校管理水平的提升，促进办学集团教育教学水平的整体提升和城乡教育质量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（四）招聘的学校校长要协助党组织书记做好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学校管理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工作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，原则上承担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不少于4课时的课堂教学任务，主要组织领导教育教学工作，制定与实施学年及学期教学工作计划和提升教学质量的措施，主持有关教育教学工作会议，组织开展教学研究活动，抓好教学常规管理，促进学校教育教学水平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（五）招聘的副校长要配合学校党组织书记及校长做好教育教学工作，主持教务和教研日常工作，制定教学管理措施，定期开展教学常规检查与指导，同时根据学科专业特长，承担不少于6课时的课堂教学任务，发挥好示范引领作用，做好青年教师的培养指导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（六）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的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教研员负责各学校教学常规管理和指导，组织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开展学科教研活动，每学期开展不少于一次示范课或讲座，指导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学校进行教学改革实验，交流、总结，指导教师开展教育教学研究，提高教师教学教研能力，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同时做好包联学校定点指导帮扶工作。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  <w:t>六、履约管理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各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招聘学校与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签订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工作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协议，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原则上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协议签订两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年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为一个周期，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一年签订一次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，明确双方的权利和义务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，定期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由各招聘学校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对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其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工作开展情况进行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跟踪评估，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每学期结束后由学校组织开展业绩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考核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对不按协议要求履行义务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、教学任务完成质量不高、安排相关教学任务不落实、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课堂教学管理水平不高、多次受到家长和学生有效投诉、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跟踪考核不合格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或因身体原因不适合继续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工作的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招聘学校可予以解聘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整校制招聘的校长和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每年由县教育局对学校全方位工作进行考核，根据年终考核结果进行续聘或解聘。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  <w:t>七、招聘时间及方式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</w:rPr>
        <w:t>（一）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val="en-US" w:eastAsia="zh-CN"/>
        </w:rPr>
        <w:t>报名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2024年2月20日至3月10日报名，暑假具体招聘时间根据开学时间确定。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color w:val="000000"/>
          <w:sz w:val="32"/>
          <w:szCs w:val="32"/>
          <w:shd w:val="clear" w:color="auto" w:fill="auto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shd w:val="clear" w:color="auto" w:fill="auto"/>
        </w:rPr>
        <w:t>（二）报名方式：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采取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现场报名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或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网上报名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的方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1.现场报名：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报名时需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提交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报名表和本人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身份证、职称证、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毕业证、普通话证、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退休文件、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近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3个月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体检证明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原件及复印件等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1份，近期免冠照片2张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2.网上报名邮箱（</w:t>
      </w:r>
      <w:r>
        <w:rPr>
          <w:rFonts w:hint="eastAsia" w:ascii="仿宋_GB2312" w:hAnsi="仿宋_GB2312" w:eastAsia="仿宋_GB2312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>1499619727@qq.com</w:t>
      </w: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）：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需提供相关扫描证件。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3.招聘地点：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巴里坤县教育局组织人事室。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4.面试时间和地点：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现场面试时间和地点另行通知。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default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5.到岗时间: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根据</w:t>
      </w:r>
      <w:r>
        <w:rPr>
          <w:rFonts w:hint="eastAsia" w:ascii="仿宋_GB2312" w:hAnsi="仿宋_GB2312" w:eastAsia="仿宋_GB2312" w:cs="Times New Roman"/>
          <w:color w:val="000000"/>
          <w:kern w:val="2"/>
          <w:sz w:val="32"/>
          <w:szCs w:val="32"/>
          <w:shd w:val="clear" w:color="auto" w:fill="auto"/>
          <w:lang w:val="en-US" w:eastAsia="zh-CN" w:bidi="ar-SA"/>
        </w:rPr>
        <w:t>春季学期和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秋季学期开学时间具体确定。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  <w:t>八、人员确定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通过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资格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审核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和组织遴选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确定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的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拟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人员进行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为期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7天的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公示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公示结束后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由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各招聘单位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与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招聘教师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签订协议书，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县教育局与招聘的集团校校长、整校制招聘的校长及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签订协议书，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按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协议书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约定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上岗，履行岗位职责。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shd w:val="clear" w:color="auto" w:fill="auto"/>
          <w:lang w:eastAsia="zh-CN"/>
        </w:rPr>
        <w:t>九、保障措施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shd w:val="clear" w:color="auto" w:fill="auto"/>
        </w:rPr>
        <w:t>（一）经费保障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招聘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人员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服务期间人事关系、现享受的退休待遇不变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每年自行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购买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eastAsia="zh-CN"/>
        </w:rPr>
        <w:t>不少于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200元的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</w:rPr>
        <w:t>意外保险费。</w:t>
      </w:r>
      <w:r>
        <w:rPr>
          <w:rFonts w:hint="eastAsia" w:ascii="仿宋_GB2312" w:hAnsi="仿宋_GB2312" w:eastAsia="仿宋_GB2312"/>
          <w:color w:val="000000"/>
          <w:sz w:val="32"/>
          <w:szCs w:val="32"/>
          <w:shd w:val="clear" w:color="auto" w:fill="auto"/>
          <w:lang w:val="en-US" w:eastAsia="zh-CN"/>
        </w:rPr>
        <w:t>按月发放工作补助，其中：市级及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以上名校长25000元/人/月（按12个月发放），市县级及以上名师、学科带头人、教学能手、特级教师等18000元/人/月，市县级及以上骨干教师、优秀教师16000元/人/月，原则上每学年按照10个月发放，工作期间产生的交通差旅费由用人单位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所需经费由中央（20000元/年/人）、巴里坤县财政共同承担。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</w:rPr>
        <w:t>（二）政策保障</w:t>
      </w:r>
      <w:r>
        <w:rPr>
          <w:rFonts w:hint="eastAsia" w:ascii="楷体_GB2312" w:hAnsi="楷体_GB2312" w:eastAsia="楷体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招聘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因病因伤发生的医疗费用，按本人医疗关系和有关规定办理。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color w:val="000000"/>
          <w:kern w:val="2"/>
          <w:sz w:val="32"/>
          <w:szCs w:val="32"/>
          <w:lang w:val="en-US" w:eastAsia="zh-CN" w:bidi="ar-SA"/>
        </w:rPr>
        <w:t>（三）住宿保障</w:t>
      </w:r>
      <w:r>
        <w:rPr>
          <w:rFonts w:hint="eastAsia" w:hAnsi="楷体_GB2312"/>
          <w:b/>
          <w:bCs/>
          <w:color w:val="00000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在县域内无住房的可提供住宿，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在岗期间产生的水电暖费用、网络费等由个人承担。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outlineLvl w:val="9"/>
        <w:rPr>
          <w:rFonts w:hint="eastAsia" w:ascii="黑体" w:hAnsi="黑体" w:eastAsia="黑体"/>
          <w:b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 w:val="0"/>
          <w:color w:val="000000"/>
          <w:sz w:val="32"/>
          <w:szCs w:val="32"/>
          <w:lang w:eastAsia="zh-CN"/>
        </w:rPr>
        <w:t>十、联系方式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王志涛   0902--6822029   13399717599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翟家友   0902--6822029   15299763931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16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pacing w:val="-6"/>
          <w:sz w:val="32"/>
          <w:szCs w:val="32"/>
          <w:lang w:val="en-US" w:eastAsia="zh-CN"/>
        </w:rPr>
        <w:t>1、招聘紧缺专业银龄计划教师岗位设置表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2、招聘名校长岗位设置表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3、招聘整班制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kern w:val="2"/>
          <w:sz w:val="32"/>
          <w:szCs w:val="32"/>
          <w:lang w:val="en-US" w:eastAsia="zh-CN" w:bidi="ar-SA"/>
        </w:rPr>
        <w:t>岗位设置表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4、招聘整年级制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岗位设置表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5、招聘整校制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银龄计划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岗位设置表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6、招聘县教育局教研员岗位设置表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7、招聘紧缺专业银龄计划教师报名表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附件1：招聘紧缺专业银龄计划教师岗位设置表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2269"/>
        <w:gridCol w:w="2433"/>
        <w:gridCol w:w="1573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12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6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723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964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学段学科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巴里坤县第一中学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初中化学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初中历史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初中地理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初中道德与法治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巴里坤县第二中学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初中生物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初中地理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哈密市第三中学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初中地理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初中道德与法治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萨尔乔克中学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海子沿乡中心小学</w:t>
            </w: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269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4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15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7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3143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附件2：招聘校长岗位设置表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3333"/>
        <w:gridCol w:w="1712"/>
        <w:gridCol w:w="1716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9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第一集团校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校长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第二集团校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校长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9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哈密市第三中学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副校长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9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3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石人子乡中心小学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校长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3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八墙子乡中心小学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校长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3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海子沿乡中心小学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副校长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3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奎苏镇中学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副校长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9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33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萨尔乔克乡中学</w:t>
            </w:r>
          </w:p>
        </w:tc>
        <w:tc>
          <w:tcPr>
            <w:tcW w:w="1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副校长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6028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tabs>
                <w:tab w:val="left" w:pos="51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71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2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56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附件3：招聘整班制银龄计划教师岗位设置表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19"/>
        <w:gridCol w:w="1122"/>
        <w:gridCol w:w="993"/>
        <w:gridCol w:w="2068"/>
        <w:gridCol w:w="112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5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19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12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任教年级</w:t>
            </w:r>
          </w:p>
        </w:tc>
        <w:tc>
          <w:tcPr>
            <w:tcW w:w="993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2068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学段及学科</w:t>
            </w:r>
          </w:p>
        </w:tc>
        <w:tc>
          <w:tcPr>
            <w:tcW w:w="1122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21" w:type="dxa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25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19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巴里坤县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第二中学</w:t>
            </w:r>
          </w:p>
        </w:tc>
        <w:tc>
          <w:tcPr>
            <w:tcW w:w="1122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七年级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1个班</w:t>
            </w: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2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2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2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初中生物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2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初中历史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初中地理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82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初中道德与法治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825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19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海子沿乡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中心小学</w:t>
            </w:r>
          </w:p>
        </w:tc>
        <w:tc>
          <w:tcPr>
            <w:tcW w:w="1122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五年级</w:t>
            </w:r>
          </w:p>
        </w:tc>
        <w:tc>
          <w:tcPr>
            <w:tcW w:w="993" w:type="dxa"/>
            <w:vMerge w:val="restart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1个班</w:t>
            </w: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2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2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25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2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3" w:type="dxa"/>
            <w:vMerge w:val="continue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小学道德与法治</w:t>
            </w:r>
          </w:p>
        </w:tc>
        <w:tc>
          <w:tcPr>
            <w:tcW w:w="112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27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543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970" w:type="dxa"/>
            <w:gridSpan w:val="7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备注：工作量不满的教师，安排兼代同年级其它班级同学科教学任务，或者兼代同年级其它学科教学。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outlineLvl w:val="9"/>
        <w:rPr>
          <w:rFonts w:hint="default" w:ascii="仿宋_GB2312" w:hAnsi="仿宋_GB2312" w:eastAsia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附件4：招聘整年级制银龄计划教师岗位设置表</w:t>
      </w:r>
    </w:p>
    <w:tbl>
      <w:tblPr>
        <w:tblStyle w:val="5"/>
        <w:tblW w:w="8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84"/>
        <w:gridCol w:w="1500"/>
        <w:gridCol w:w="1147"/>
        <w:gridCol w:w="1659"/>
        <w:gridCol w:w="1283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5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任教年级</w:t>
            </w:r>
          </w:p>
        </w:tc>
        <w:tc>
          <w:tcPr>
            <w:tcW w:w="114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班级数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学段及学科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4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8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萨尔乔克乡中学</w:t>
            </w:r>
          </w:p>
        </w:tc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八年级</w:t>
            </w:r>
          </w:p>
        </w:tc>
        <w:tc>
          <w:tcPr>
            <w:tcW w:w="114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2个班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初中语文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初中数学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初中物理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初中生物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初中历史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初中地理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初中道德与法治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6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8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巴里坤县第二中学</w:t>
            </w:r>
          </w:p>
        </w:tc>
        <w:tc>
          <w:tcPr>
            <w:tcW w:w="1500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147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2个班</w:t>
            </w: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46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小学道德与法治</w:t>
            </w:r>
          </w:p>
        </w:tc>
        <w:tc>
          <w:tcPr>
            <w:tcW w:w="12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4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3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附件5：招聘整校制银龄计划教师岗位设置表</w:t>
      </w:r>
    </w:p>
    <w:tbl>
      <w:tblPr>
        <w:tblStyle w:val="5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21"/>
        <w:gridCol w:w="1024"/>
        <w:gridCol w:w="1112"/>
        <w:gridCol w:w="2082"/>
        <w:gridCol w:w="1194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2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102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在校生</w:t>
            </w:r>
          </w:p>
        </w:tc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班级数</w:t>
            </w:r>
          </w:p>
        </w:tc>
        <w:tc>
          <w:tcPr>
            <w:tcW w:w="20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学段及学科</w:t>
            </w:r>
          </w:p>
        </w:tc>
        <w:tc>
          <w:tcPr>
            <w:tcW w:w="11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7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2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八墙子乡中心小学</w:t>
            </w:r>
          </w:p>
        </w:tc>
        <w:tc>
          <w:tcPr>
            <w:tcW w:w="102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112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小学道德与法治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78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21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石人子乡中心小学</w:t>
            </w:r>
          </w:p>
        </w:tc>
        <w:tc>
          <w:tcPr>
            <w:tcW w:w="1024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112" w:type="dxa"/>
            <w:vMerge w:val="restart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小学语文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小学数学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小学英语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4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小学道德与法治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65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4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420" w:firstLineChars="200"/>
        <w:jc w:val="both"/>
        <w:textAlignment w:val="auto"/>
        <w:outlineLvl w:val="9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附件6：招聘县教研培训中心教研员岗位设置表</w:t>
      </w:r>
    </w:p>
    <w:tbl>
      <w:tblPr>
        <w:tblStyle w:val="5"/>
        <w:tblW w:w="8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2418"/>
        <w:gridCol w:w="2808"/>
        <w:gridCol w:w="127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1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41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学段学科</w:t>
            </w:r>
          </w:p>
        </w:tc>
        <w:tc>
          <w:tcPr>
            <w:tcW w:w="12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48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2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县教研培训中心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中小学语文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县教研培训中心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中小学数学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县教研培训中心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中小学英语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县教研培训中心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初中物理、化学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县教研培训中心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中小学道德与法治、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初中历史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县教研培训中心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中小学艺术课程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4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县教研培训中心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中小学劳动、综合实践</w:t>
            </w:r>
          </w:p>
        </w:tc>
        <w:tc>
          <w:tcPr>
            <w:tcW w:w="12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21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总计</w:t>
            </w:r>
          </w:p>
        </w:tc>
        <w:tc>
          <w:tcPr>
            <w:tcW w:w="27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621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horzAnchor="page" w:tblpX="1372" w:tblpY="131"/>
        <w:tblOverlap w:val="never"/>
        <w:tblW w:w="925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76"/>
        <w:gridCol w:w="830"/>
        <w:gridCol w:w="1250"/>
        <w:gridCol w:w="1323"/>
        <w:gridCol w:w="1436"/>
        <w:gridCol w:w="1004"/>
        <w:gridCol w:w="1936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</w:trPr>
        <w:tc>
          <w:tcPr>
            <w:tcW w:w="9255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auto"/>
              <w:outlineLvl w:val="9"/>
              <w:rPr>
                <w:rFonts w:hint="eastAsia" w:eastAsia="楷体_GB2312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2"/>
                <w:sz w:val="32"/>
                <w:szCs w:val="32"/>
                <w:lang w:val="en-US" w:eastAsia="zh-CN" w:bidi="ar-SA"/>
              </w:rPr>
              <w:t>附件7：招聘紧缺专业（银龄计划）教师报名表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族  别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720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  籍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（学位）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所学专业及特长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 称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退休(任教)时间及职务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退休（任教）单位及任教学科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普通话水平等级</w:t>
            </w:r>
          </w:p>
        </w:tc>
        <w:tc>
          <w:tcPr>
            <w:tcW w:w="2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</w:t>
            </w:r>
          </w:p>
        </w:tc>
        <w:tc>
          <w:tcPr>
            <w:tcW w:w="4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8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所获称号或奖励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学校：            学段：        学科：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工作学习简历</w:t>
            </w: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招聘意见</w:t>
            </w:r>
          </w:p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>公章：           负责人（签名）：        年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723" w:right="1576" w:bottom="1553" w:left="157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62523"/>
    <w:multiLevelType w:val="singleLevel"/>
    <w:tmpl w:val="B766252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NGU1ZjEzOTkyNzY5ZjRlZmRmNzMxMDcxOGZjYjYifQ=="/>
  </w:docVars>
  <w:rsids>
    <w:rsidRoot w:val="00000000"/>
    <w:rsid w:val="000B7C08"/>
    <w:rsid w:val="0180235E"/>
    <w:rsid w:val="02026205"/>
    <w:rsid w:val="020A1E1A"/>
    <w:rsid w:val="0394110C"/>
    <w:rsid w:val="039E2D9E"/>
    <w:rsid w:val="03B94BBD"/>
    <w:rsid w:val="03BF5006"/>
    <w:rsid w:val="03D0367F"/>
    <w:rsid w:val="043A4086"/>
    <w:rsid w:val="04401F17"/>
    <w:rsid w:val="045651C2"/>
    <w:rsid w:val="05553977"/>
    <w:rsid w:val="05A315F9"/>
    <w:rsid w:val="05B4780B"/>
    <w:rsid w:val="08F6167C"/>
    <w:rsid w:val="09057E07"/>
    <w:rsid w:val="09225F69"/>
    <w:rsid w:val="094F20F6"/>
    <w:rsid w:val="095C503E"/>
    <w:rsid w:val="09820B5F"/>
    <w:rsid w:val="09AD2025"/>
    <w:rsid w:val="0A387795"/>
    <w:rsid w:val="0A3B7743"/>
    <w:rsid w:val="0B345A6A"/>
    <w:rsid w:val="0B714B4D"/>
    <w:rsid w:val="0B9C3F5C"/>
    <w:rsid w:val="0BA17973"/>
    <w:rsid w:val="0C0C068C"/>
    <w:rsid w:val="0C952E01"/>
    <w:rsid w:val="0D096D6B"/>
    <w:rsid w:val="0DF22E25"/>
    <w:rsid w:val="0E0A3355"/>
    <w:rsid w:val="0EA41836"/>
    <w:rsid w:val="0F3C7195"/>
    <w:rsid w:val="10014CD8"/>
    <w:rsid w:val="10295179"/>
    <w:rsid w:val="10516BDB"/>
    <w:rsid w:val="10847CBF"/>
    <w:rsid w:val="11293626"/>
    <w:rsid w:val="1160790C"/>
    <w:rsid w:val="11B73C15"/>
    <w:rsid w:val="123940A5"/>
    <w:rsid w:val="123C4A4C"/>
    <w:rsid w:val="129711A6"/>
    <w:rsid w:val="137265F2"/>
    <w:rsid w:val="14505EF5"/>
    <w:rsid w:val="152E04B0"/>
    <w:rsid w:val="153B2C66"/>
    <w:rsid w:val="165D3781"/>
    <w:rsid w:val="16BA0EE2"/>
    <w:rsid w:val="172A7445"/>
    <w:rsid w:val="178815F7"/>
    <w:rsid w:val="18AE5D79"/>
    <w:rsid w:val="18BB3517"/>
    <w:rsid w:val="18C27799"/>
    <w:rsid w:val="199840C7"/>
    <w:rsid w:val="1A514D12"/>
    <w:rsid w:val="1A82602D"/>
    <w:rsid w:val="1A9B007B"/>
    <w:rsid w:val="1AEA6BDB"/>
    <w:rsid w:val="1C286123"/>
    <w:rsid w:val="1CBA7346"/>
    <w:rsid w:val="1CFD43A9"/>
    <w:rsid w:val="1D693D33"/>
    <w:rsid w:val="1DCC41F3"/>
    <w:rsid w:val="1E4A1CED"/>
    <w:rsid w:val="1E9139E0"/>
    <w:rsid w:val="1F362154"/>
    <w:rsid w:val="1F7867D3"/>
    <w:rsid w:val="1FC95EF3"/>
    <w:rsid w:val="1FCD0895"/>
    <w:rsid w:val="200C182D"/>
    <w:rsid w:val="20950BB3"/>
    <w:rsid w:val="209B3E08"/>
    <w:rsid w:val="20AF7B3B"/>
    <w:rsid w:val="213840ED"/>
    <w:rsid w:val="21E85F9E"/>
    <w:rsid w:val="225679ED"/>
    <w:rsid w:val="229E5E89"/>
    <w:rsid w:val="2471146F"/>
    <w:rsid w:val="2506157A"/>
    <w:rsid w:val="25313DC5"/>
    <w:rsid w:val="266172AE"/>
    <w:rsid w:val="26B658C8"/>
    <w:rsid w:val="271000AF"/>
    <w:rsid w:val="27333AE8"/>
    <w:rsid w:val="27EE5B2D"/>
    <w:rsid w:val="27F024CA"/>
    <w:rsid w:val="28177BF6"/>
    <w:rsid w:val="283C468C"/>
    <w:rsid w:val="28C66742"/>
    <w:rsid w:val="292023A9"/>
    <w:rsid w:val="29AD5743"/>
    <w:rsid w:val="29D7648D"/>
    <w:rsid w:val="2A0C54F8"/>
    <w:rsid w:val="2A2B11BD"/>
    <w:rsid w:val="2BF109A2"/>
    <w:rsid w:val="2DA34AA3"/>
    <w:rsid w:val="2DA5231C"/>
    <w:rsid w:val="2DE45ADA"/>
    <w:rsid w:val="2E8A0A43"/>
    <w:rsid w:val="2E9E6B10"/>
    <w:rsid w:val="2EA1794A"/>
    <w:rsid w:val="2F7557A5"/>
    <w:rsid w:val="2FE546E3"/>
    <w:rsid w:val="304B702A"/>
    <w:rsid w:val="30D03043"/>
    <w:rsid w:val="31A10142"/>
    <w:rsid w:val="32F63A3F"/>
    <w:rsid w:val="34BC4FB9"/>
    <w:rsid w:val="351650D9"/>
    <w:rsid w:val="351A7C4A"/>
    <w:rsid w:val="35D445CB"/>
    <w:rsid w:val="369470EC"/>
    <w:rsid w:val="38513C4A"/>
    <w:rsid w:val="394234C4"/>
    <w:rsid w:val="3A3D367C"/>
    <w:rsid w:val="3A8D086B"/>
    <w:rsid w:val="3B0955EA"/>
    <w:rsid w:val="3BA12F76"/>
    <w:rsid w:val="3CC922E4"/>
    <w:rsid w:val="3DF65FB0"/>
    <w:rsid w:val="3E4C4CC6"/>
    <w:rsid w:val="3EB75A2E"/>
    <w:rsid w:val="3F914DEF"/>
    <w:rsid w:val="404D5081"/>
    <w:rsid w:val="41444FD6"/>
    <w:rsid w:val="42AB5BF6"/>
    <w:rsid w:val="42D659CA"/>
    <w:rsid w:val="42DC6A18"/>
    <w:rsid w:val="43715137"/>
    <w:rsid w:val="4395176A"/>
    <w:rsid w:val="448934BB"/>
    <w:rsid w:val="448E191D"/>
    <w:rsid w:val="469B1B92"/>
    <w:rsid w:val="46EF7862"/>
    <w:rsid w:val="47E77CC1"/>
    <w:rsid w:val="48515D1F"/>
    <w:rsid w:val="48AA2E7D"/>
    <w:rsid w:val="490E7CC7"/>
    <w:rsid w:val="49EB42F3"/>
    <w:rsid w:val="4A2A07C3"/>
    <w:rsid w:val="4A4D34B1"/>
    <w:rsid w:val="4B19215A"/>
    <w:rsid w:val="4B9747A0"/>
    <w:rsid w:val="4C4601FB"/>
    <w:rsid w:val="4C973CA7"/>
    <w:rsid w:val="4CC027AB"/>
    <w:rsid w:val="4D93368E"/>
    <w:rsid w:val="4E206841"/>
    <w:rsid w:val="4E515926"/>
    <w:rsid w:val="4F98005A"/>
    <w:rsid w:val="51653473"/>
    <w:rsid w:val="5172469D"/>
    <w:rsid w:val="51754E42"/>
    <w:rsid w:val="519E4765"/>
    <w:rsid w:val="51B0708C"/>
    <w:rsid w:val="521806EE"/>
    <w:rsid w:val="52181D9A"/>
    <w:rsid w:val="53586511"/>
    <w:rsid w:val="536805BA"/>
    <w:rsid w:val="543124E5"/>
    <w:rsid w:val="55025329"/>
    <w:rsid w:val="556C12B4"/>
    <w:rsid w:val="55D848E6"/>
    <w:rsid w:val="56947DFC"/>
    <w:rsid w:val="56A92A60"/>
    <w:rsid w:val="57AA1104"/>
    <w:rsid w:val="58707D40"/>
    <w:rsid w:val="5B3D3D73"/>
    <w:rsid w:val="5B6E5D69"/>
    <w:rsid w:val="5C2A6DE7"/>
    <w:rsid w:val="5C3005AE"/>
    <w:rsid w:val="5CFB262C"/>
    <w:rsid w:val="5DDD6B22"/>
    <w:rsid w:val="5EF10B6D"/>
    <w:rsid w:val="5F085A22"/>
    <w:rsid w:val="5F4B1F8A"/>
    <w:rsid w:val="5FC87DBD"/>
    <w:rsid w:val="5FCA37DC"/>
    <w:rsid w:val="60724926"/>
    <w:rsid w:val="60AC5B2E"/>
    <w:rsid w:val="61225524"/>
    <w:rsid w:val="618D5496"/>
    <w:rsid w:val="61945328"/>
    <w:rsid w:val="623820FC"/>
    <w:rsid w:val="627C44D3"/>
    <w:rsid w:val="63EA1BC9"/>
    <w:rsid w:val="63FF64EC"/>
    <w:rsid w:val="645C2CD8"/>
    <w:rsid w:val="64CB48F1"/>
    <w:rsid w:val="659A0C99"/>
    <w:rsid w:val="65CC259D"/>
    <w:rsid w:val="65EA21B4"/>
    <w:rsid w:val="65EE6AEA"/>
    <w:rsid w:val="661733CC"/>
    <w:rsid w:val="661F7A97"/>
    <w:rsid w:val="663F47B6"/>
    <w:rsid w:val="66892024"/>
    <w:rsid w:val="67F90C31"/>
    <w:rsid w:val="685D164D"/>
    <w:rsid w:val="696F30EE"/>
    <w:rsid w:val="69EA73B7"/>
    <w:rsid w:val="6A4D6997"/>
    <w:rsid w:val="6A86681A"/>
    <w:rsid w:val="6D19219F"/>
    <w:rsid w:val="6D461319"/>
    <w:rsid w:val="6E7A089F"/>
    <w:rsid w:val="6EBA639F"/>
    <w:rsid w:val="6F037470"/>
    <w:rsid w:val="6FB20B24"/>
    <w:rsid w:val="712501CD"/>
    <w:rsid w:val="717E4554"/>
    <w:rsid w:val="718123D6"/>
    <w:rsid w:val="719B1231"/>
    <w:rsid w:val="722C73CA"/>
    <w:rsid w:val="72CC084B"/>
    <w:rsid w:val="72DA1007"/>
    <w:rsid w:val="72E400B0"/>
    <w:rsid w:val="73A76C2E"/>
    <w:rsid w:val="74602F4D"/>
    <w:rsid w:val="74AA05D9"/>
    <w:rsid w:val="750C368A"/>
    <w:rsid w:val="759B0CF2"/>
    <w:rsid w:val="76D6639B"/>
    <w:rsid w:val="779D1FB5"/>
    <w:rsid w:val="779F7416"/>
    <w:rsid w:val="78444539"/>
    <w:rsid w:val="787E0BDB"/>
    <w:rsid w:val="79165A74"/>
    <w:rsid w:val="79A24BC1"/>
    <w:rsid w:val="79C72F73"/>
    <w:rsid w:val="7A1D1FEE"/>
    <w:rsid w:val="7A4F57DA"/>
    <w:rsid w:val="7A6D5FDE"/>
    <w:rsid w:val="7B1F0C1A"/>
    <w:rsid w:val="7B5806B1"/>
    <w:rsid w:val="7B662C4C"/>
    <w:rsid w:val="7C227A9C"/>
    <w:rsid w:val="7CC356AD"/>
    <w:rsid w:val="7CCB4A08"/>
    <w:rsid w:val="7D21364C"/>
    <w:rsid w:val="7DE2522D"/>
    <w:rsid w:val="7E934776"/>
    <w:rsid w:val="7ED904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默认段落字体1"/>
    <w:link w:val="1"/>
    <w:autoRedefine/>
    <w:semiHidden/>
    <w:qFormat/>
    <w:uiPriority w:val="0"/>
  </w:style>
  <w:style w:type="table" w:customStyle="1" w:styleId="8">
    <w:name w:val="普通表格1"/>
    <w:autoRedefine/>
    <w:semiHidden/>
    <w:qFormat/>
    <w:uiPriority w:val="0"/>
  </w:style>
  <w:style w:type="character" w:customStyle="1" w:styleId="9">
    <w:name w:val="超链接1"/>
    <w:basedOn w:val="7"/>
    <w:link w:val="1"/>
    <w:autoRedefine/>
    <w:qFormat/>
    <w:uiPriority w:val="0"/>
    <w:rPr>
      <w:color w:val="0000FF"/>
      <w:u w:val="single"/>
    </w:rPr>
  </w:style>
  <w:style w:type="character" w:customStyle="1" w:styleId="10">
    <w:name w:val="要点1"/>
    <w:basedOn w:val="7"/>
    <w:link w:val="1"/>
    <w:qFormat/>
    <w:uiPriority w:val="0"/>
    <w:rPr>
      <w:b/>
    </w:rPr>
  </w:style>
  <w:style w:type="paragraph" w:customStyle="1" w:styleId="11">
    <w:name w:val="正文文本1"/>
    <w:basedOn w:val="1"/>
    <w:autoRedefine/>
    <w:qFormat/>
    <w:uiPriority w:val="0"/>
    <w:pPr>
      <w:spacing w:line="540" w:lineRule="exact"/>
    </w:pPr>
    <w:rPr>
      <w:rFonts w:ascii="楷体_GB2312" w:hAnsi="Times New Roman" w:eastAsia="楷体_GB2312"/>
      <w:sz w:val="24"/>
      <w:szCs w:val="20"/>
    </w:rPr>
  </w:style>
  <w:style w:type="paragraph" w:customStyle="1" w:styleId="12">
    <w:name w:val="页眉1"/>
    <w:basedOn w:val="1"/>
    <w:autoRedefine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普通(网站)1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页脚1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2024-01-28T09:24:00Z</dcterms:created>
  <dc:creator>njlxc</dc:creator>
  <cp:lastModifiedBy>安然</cp:lastModifiedBy>
  <cp:lastPrinted>2024-02-04T07:04:00Z</cp:lastPrinted>
  <dcterms:modified xsi:type="dcterms:W3CDTF">2024-03-06T01:56:19Z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DBA45A082D4D4F209E1B1F6D50AA4597_13</vt:lpwstr>
  </property>
</Properties>
</file>