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GoBack"/>
      <w:bookmarkEnd w:id="0"/>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比  赛  内  容</w:t>
      </w:r>
    </w:p>
    <w:p>
      <w:pPr>
        <w:keepNext w:val="0"/>
        <w:keepLines w:val="0"/>
        <w:pageBreakBefore w:val="0"/>
        <w:widowControl w:val="0"/>
        <w:kinsoku/>
        <w:wordWrap/>
        <w:overflowPunct w:val="0"/>
        <w:topLinePunct w:val="0"/>
        <w:autoSpaceDN/>
        <w:bidi w:val="0"/>
        <w:adjustRightInd/>
        <w:snapToGrid/>
        <w:spacing w:line="580" w:lineRule="exact"/>
        <w:ind w:firstLine="898" w:firstLineChars="200"/>
        <w:textAlignment w:val="auto"/>
        <w:rPr>
          <w:rFonts w:hint="eastAsia" w:ascii="仿宋_GB2312"/>
          <w:bCs/>
          <w:sz w:val="44"/>
          <w:szCs w:val="44"/>
        </w:rPr>
      </w:pP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以习近平新时代中国特色社会主义思想为指导，全面贯彻党的教育方针，落实立德树人根本任务，</w:t>
      </w:r>
      <w:r>
        <w:rPr>
          <w:rFonts w:hint="eastAsia" w:ascii="仿宋_GB2312" w:hAnsi="仿宋"/>
          <w:spacing w:val="-6"/>
          <w:sz w:val="32"/>
          <w:szCs w:val="32"/>
        </w:rPr>
        <w:t>加强师德师风建设，</w:t>
      </w:r>
      <w:r>
        <w:rPr>
          <w:rFonts w:hint="eastAsia" w:ascii="仿宋_GB2312" w:hAnsi="仿宋"/>
          <w:sz w:val="32"/>
          <w:szCs w:val="32"/>
        </w:rPr>
        <w:t>贯彻全国</w:t>
      </w:r>
      <w:r>
        <w:rPr>
          <w:rFonts w:hint="eastAsia" w:ascii="仿宋_GB2312" w:hAnsi="仿宋"/>
          <w:sz w:val="32"/>
          <w:szCs w:val="32"/>
          <w:lang w:eastAsia="zh-CN"/>
        </w:rPr>
        <w:t>、全省职教</w:t>
      </w:r>
      <w:r>
        <w:rPr>
          <w:rFonts w:hint="eastAsia" w:ascii="仿宋_GB2312" w:hAnsi="仿宋"/>
          <w:sz w:val="32"/>
          <w:szCs w:val="32"/>
        </w:rPr>
        <w:t>大会精神和《国家职业教育改革实施方案》部署，积极推进职业教育领域“三全育人”，培育和践行社会主义核心价值观。坚持赛训一体、以赛促建，推动各地、各中等职业学校、技工院校和有关高等职业学校中专部加强班主任队伍专业化建设，提高教育教学、组织管理、人际沟通和职业指导等方面能力，发挥班主任在学校实施教书育人、管理育人、服务育人和沟通学校、家庭、用人单位等方面的重要作用，提高职业院校德育工作和学生管理水平，促进学生德智体美劳全面发展。</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rPr>
        <w:t>二、比赛内容</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重点考察中等职业学校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楷体_GB2312" w:hAnsi="楷体" w:eastAsia="楷体_GB2312"/>
          <w:sz w:val="32"/>
          <w:szCs w:val="32"/>
        </w:rPr>
        <w:t>（一）开展班级情况分析。</w:t>
      </w:r>
      <w:r>
        <w:rPr>
          <w:rFonts w:hint="eastAsia" w:ascii="仿宋_GB2312" w:hAnsi="仿宋"/>
          <w:sz w:val="32"/>
          <w:szCs w:val="32"/>
        </w:rPr>
        <w:t>全面了解目前所带班级每一名学生入学时的家庭情况、身心健康状况、个性特点、学业基础、爱好特长、发展诉求等，并密切关注变化情况，结合所属专业，深入分析建班育人实践中需要重点关注的工作领域、学生个体，以及可能面临的困难和需要重点解决的问题。</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楷体_GB2312" w:hAnsi="楷体" w:eastAsia="楷体_GB2312"/>
          <w:sz w:val="32"/>
          <w:szCs w:val="32"/>
        </w:rPr>
        <w:t>（二）制订班级建设方案。</w:t>
      </w:r>
      <w:r>
        <w:rPr>
          <w:rFonts w:hint="eastAsia" w:ascii="仿宋_GB2312" w:hAnsi="仿宋"/>
          <w:sz w:val="32"/>
          <w:szCs w:val="32"/>
        </w:rPr>
        <w:t>体现先进教育理念，坚持依法治教，根据《新时代爱国主义教育实施纲要》《新时代公民道德建设纲要》《中国学生发展核心素养》《大中小学劳动教育指导纲要（试行）》《中等职业学校德育大纲（2014年修订）》《中等职业学校职业指导工作规定》《教育部办公厅关于加强和改进新时代中等职业学校德育工作的意见》、职业教育国家教学标准、学校专业人才培养方案和行业企业人才需求实际等，结合中职学生思想、行为特点和班级情况实际，遵循教育教学规律、思想政治工作规律和技术技能人才成长规律，坚持班级整体建设与学生个体培养有机统一，注重发挥学生主体作用，科学合理确定班级建设目标，统筹规划所带班级整个中职阶段的各项工作。将立德树人放在首要位置，融入班级建设全过程，深入开展习近平新时代中国特色社会主义思想教育，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pPr>
        <w:keepNext w:val="0"/>
        <w:keepLines w:val="0"/>
        <w:pageBreakBefore w:val="0"/>
        <w:widowControl w:val="0"/>
        <w:numPr>
          <w:ilvl w:val="0"/>
          <w:numId w:val="0"/>
        </w:numPr>
        <w:kinsoku/>
        <w:wordWrap/>
        <w:topLinePunct w:val="0"/>
        <w:autoSpaceDE w:val="0"/>
        <w:autoSpaceDN/>
        <w:bidi w:val="0"/>
        <w:adjustRightInd/>
        <w:snapToGrid/>
        <w:spacing w:line="580" w:lineRule="exact"/>
        <w:ind w:firstLine="658" w:firstLineChars="200"/>
        <w:textAlignment w:val="auto"/>
        <w:rPr>
          <w:rFonts w:hint="eastAsia" w:ascii="楷体_GB2312" w:hAnsi="楷体" w:eastAsia="楷体_GB2312"/>
          <w:sz w:val="32"/>
          <w:szCs w:val="32"/>
        </w:rPr>
      </w:pPr>
      <w:r>
        <w:rPr>
          <w:rFonts w:hint="eastAsia" w:ascii="楷体_GB2312" w:hAnsi="楷体" w:eastAsia="楷体_GB2312"/>
          <w:sz w:val="32"/>
          <w:szCs w:val="32"/>
        </w:rPr>
        <w:t>（三）扎实推进建班育人</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1.学生思想工作。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注重运用新媒体、新技术，拓展网络育人阵地，利用网络唱响主旋律、传播正能量。</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2.班级管理工作。组建班委会、团支部，健全班级制度，组织学生学习签署践行《中等职业学校学生公约》，树立优良班风学风，鼓励学生参与制度、环境等班级文化建设，教育引导学生自觉养成良好的思想品质和行为习惯，维护教育教学秩序和生活秩序。客观、公正做好学生综合素质评价，及时对学生进行鼓励和指导。加强安全教育、法治教育、卫生健康教育和心理健康教育指导，维护班级和学生安全。</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3.组织班级活动。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4.职业指导工作。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5.沟通协调工作。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仿宋_GB2312" w:hAnsi="仿宋"/>
          <w:sz w:val="32"/>
          <w:szCs w:val="32"/>
        </w:rPr>
        <w:t>6.及时总结改进。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中职学生年龄特点、成长规律的科学管理理念和工作方法。</w:t>
      </w:r>
    </w:p>
    <w:p>
      <w:pPr>
        <w:keepNext w:val="0"/>
        <w:keepLines w:val="0"/>
        <w:pageBreakBefore w:val="0"/>
        <w:widowControl w:val="0"/>
        <w:kinsoku/>
        <w:wordWrap/>
        <w:overflowPunct w:val="0"/>
        <w:topLinePunct w:val="0"/>
        <w:autoSpaceDN/>
        <w:bidi w:val="0"/>
        <w:adjustRightInd/>
        <w:snapToGrid/>
        <w:spacing w:line="580" w:lineRule="exact"/>
        <w:ind w:firstLine="658" w:firstLineChars="200"/>
        <w:textAlignment w:val="auto"/>
        <w:rPr>
          <w:rFonts w:hint="eastAsia" w:ascii="仿宋_GB2312" w:hAnsi="仿宋"/>
          <w:sz w:val="32"/>
          <w:szCs w:val="32"/>
        </w:rPr>
      </w:pPr>
      <w:r>
        <w:rPr>
          <w:rFonts w:hint="eastAsia" w:ascii="楷体_GB2312" w:hAnsi="楷体" w:eastAsia="楷体_GB2312"/>
          <w:sz w:val="32"/>
          <w:szCs w:val="32"/>
        </w:rPr>
        <w:t>（四）妥善应对突发事件。</w:t>
      </w:r>
      <w:r>
        <w:rPr>
          <w:rFonts w:hint="eastAsia" w:ascii="仿宋_GB2312" w:hAnsi="仿宋"/>
          <w:sz w:val="32"/>
          <w:szCs w:val="32"/>
        </w:rPr>
        <w:t>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p>
    <w:p>
      <w:pPr>
        <w:keepNext w:val="0"/>
        <w:keepLines w:val="0"/>
        <w:pageBreakBefore w:val="0"/>
        <w:widowControl w:val="0"/>
        <w:kinsoku/>
        <w:wordWrap/>
        <w:overflowPunct w:val="0"/>
        <w:topLinePunct w:val="0"/>
        <w:autoSpaceDN/>
        <w:bidi w:val="0"/>
        <w:adjustRightInd/>
        <w:snapToGrid/>
        <w:spacing w:line="580" w:lineRule="exact"/>
        <w:textAlignment w:val="auto"/>
        <w:rPr>
          <w:rFonts w:hint="eastAsia" w:ascii="仿宋_GB2312" w:hAnsi="仿宋"/>
          <w:sz w:val="32"/>
          <w:szCs w:val="32"/>
        </w:rPr>
      </w:pPr>
    </w:p>
    <w:p>
      <w:pPr>
        <w:keepNext w:val="0"/>
        <w:keepLines w:val="0"/>
        <w:pageBreakBefore w:val="0"/>
        <w:widowControl w:val="0"/>
        <w:kinsoku/>
        <w:wordWrap/>
        <w:overflowPunct w:val="0"/>
        <w:topLinePunct w:val="0"/>
        <w:autoSpaceDN/>
        <w:bidi w:val="0"/>
        <w:adjustRightInd/>
        <w:snapToGrid/>
        <w:spacing w:line="580" w:lineRule="exact"/>
        <w:textAlignment w:val="auto"/>
        <w:rPr>
          <w:rFonts w:hint="eastAsia" w:ascii="黑体" w:hAnsi="黑体" w:eastAsia="黑体"/>
          <w:sz w:val="21"/>
          <w:szCs w:val="21"/>
        </w:rPr>
      </w:pPr>
      <w:r>
        <w:rPr>
          <w:rFonts w:hint="eastAsia" w:ascii="仿宋_GB2312" w:hAnsi="仿宋"/>
          <w:sz w:val="32"/>
          <w:szCs w:val="32"/>
        </w:rPr>
        <w:br w:type="page"/>
      </w:r>
      <w:r>
        <w:rPr>
          <w:rFonts w:hint="eastAsia" w:ascii="黑体" w:hAnsi="黑体" w:eastAsia="黑体"/>
          <w:sz w:val="32"/>
          <w:szCs w:val="32"/>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参赛材料及有关要求</w:t>
      </w:r>
    </w:p>
    <w:p>
      <w:pPr>
        <w:keepNext w:val="0"/>
        <w:keepLines w:val="0"/>
        <w:pageBreakBefore w:val="0"/>
        <w:kinsoku/>
        <w:wordWrap/>
        <w:overflowPunct w:val="0"/>
        <w:topLinePunct w:val="0"/>
        <w:autoSpaceDN/>
        <w:bidi w:val="0"/>
        <w:adjustRightInd/>
        <w:spacing w:line="560" w:lineRule="exact"/>
        <w:ind w:firstLine="898" w:firstLineChars="200"/>
        <w:textAlignment w:val="auto"/>
        <w:rPr>
          <w:rFonts w:hint="eastAsia" w:ascii="仿宋_GB2312"/>
          <w:bCs/>
          <w:sz w:val="44"/>
          <w:szCs w:val="44"/>
        </w:rPr>
      </w:pPr>
    </w:p>
    <w:p>
      <w:pPr>
        <w:keepNext w:val="0"/>
        <w:keepLines w:val="0"/>
        <w:pageBreakBefore w:val="0"/>
        <w:kinsoku/>
        <w:wordWrap/>
        <w:overflowPunct w:val="0"/>
        <w:topLinePunct w:val="0"/>
        <w:autoSpaceDN/>
        <w:bidi w:val="0"/>
        <w:adjustRightInd/>
        <w:spacing w:line="56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rPr>
        <w:t>一、参赛材料内容</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材料应包括目前所带班级使用的完整中职阶段（中职班为入学到毕业全过程，五年制高职为前三年级）班级建设方案、1篇班级教育故事、1个主题班会实录视频及班会方案，另附本班实际使用的专业人才培养方案。具体要求如下：</w:t>
      </w:r>
    </w:p>
    <w:p>
      <w:pPr>
        <w:keepNext w:val="0"/>
        <w:keepLines w:val="0"/>
        <w:pageBreakBefore w:val="0"/>
        <w:numPr>
          <w:ilvl w:val="0"/>
          <w:numId w:val="0"/>
        </w:numPr>
        <w:kinsoku/>
        <w:wordWrap/>
        <w:topLinePunct w:val="0"/>
        <w:autoSpaceDE w:val="0"/>
        <w:autoSpaceDN/>
        <w:bidi w:val="0"/>
        <w:adjustRightInd/>
        <w:spacing w:line="560" w:lineRule="exact"/>
        <w:ind w:firstLine="658" w:firstLineChars="200"/>
        <w:textAlignment w:val="auto"/>
        <w:rPr>
          <w:rFonts w:hint="eastAsia" w:ascii="楷体_GB2312" w:hAnsi="楷体" w:eastAsia="楷体_GB2312"/>
          <w:sz w:val="32"/>
          <w:szCs w:val="32"/>
        </w:rPr>
      </w:pPr>
      <w:r>
        <w:rPr>
          <w:rFonts w:hint="eastAsia" w:ascii="楷体_GB2312" w:hAnsi="楷体" w:eastAsia="楷体_GB2312"/>
          <w:sz w:val="32"/>
          <w:szCs w:val="32"/>
        </w:rPr>
        <w:t>（一）班级建设方案</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选手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班级建设方案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keepNext w:val="0"/>
        <w:keepLines w:val="0"/>
        <w:pageBreakBefore w:val="0"/>
        <w:kinsoku/>
        <w:wordWrap/>
        <w:overflowPunct w:val="0"/>
        <w:topLinePunct w:val="0"/>
        <w:autoSpaceDN/>
        <w:bidi w:val="0"/>
        <w:adjustRightInd/>
        <w:spacing w:line="560" w:lineRule="exact"/>
        <w:jc w:val="center"/>
        <w:textAlignment w:val="auto"/>
        <w:rPr>
          <w:rFonts w:hint="eastAsia" w:ascii="仿宋_GB2312" w:hAnsi="仿宋"/>
          <w:sz w:val="32"/>
          <w:szCs w:val="32"/>
        </w:rPr>
      </w:pPr>
    </w:p>
    <w:p>
      <w:pPr>
        <w:keepNext w:val="0"/>
        <w:keepLines w:val="0"/>
        <w:pageBreakBefore w:val="0"/>
        <w:kinsoku/>
        <w:wordWrap/>
        <w:overflowPunct w:val="0"/>
        <w:topLinePunct w:val="0"/>
        <w:autoSpaceDN/>
        <w:bidi w:val="0"/>
        <w:adjustRightInd/>
        <w:spacing w:line="560" w:lineRule="exact"/>
        <w:jc w:val="center"/>
        <w:textAlignment w:val="auto"/>
        <w:rPr>
          <w:rFonts w:hint="eastAsia" w:ascii="仿宋_GB2312" w:hAnsi="仿宋"/>
          <w:sz w:val="32"/>
          <w:szCs w:val="32"/>
        </w:rPr>
      </w:pPr>
      <w:r>
        <w:rPr>
          <w:rFonts w:hint="eastAsia" w:ascii="仿宋_GB2312" w:hAnsi="仿宋"/>
          <w:sz w:val="32"/>
          <w:szCs w:val="32"/>
        </w:rPr>
        <w:t>班级学生基本情况表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885"/>
        <w:gridCol w:w="746"/>
        <w:gridCol w:w="798"/>
        <w:gridCol w:w="1416"/>
        <w:gridCol w:w="3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textAlignment w:val="auto"/>
              <w:rPr>
                <w:rFonts w:hint="eastAsia" w:ascii="仿宋_GB2312" w:hAnsi="仿宋"/>
                <w:sz w:val="24"/>
                <w:szCs w:val="24"/>
              </w:rPr>
            </w:pPr>
            <w:r>
              <w:rPr>
                <w:rFonts w:hint="eastAsia" w:ascii="仿宋_GB2312" w:hAnsi="仿宋"/>
                <w:sz w:val="24"/>
                <w:szCs w:val="24"/>
              </w:rPr>
              <w:t>序号</w:t>
            </w: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textAlignment w:val="auto"/>
              <w:rPr>
                <w:rFonts w:hint="eastAsia" w:ascii="仿宋_GB2312" w:hAnsi="仿宋"/>
                <w:sz w:val="24"/>
                <w:szCs w:val="24"/>
              </w:rPr>
            </w:pPr>
            <w:r>
              <w:rPr>
                <w:rFonts w:hint="eastAsia" w:ascii="仿宋_GB2312" w:hAnsi="仿宋"/>
                <w:sz w:val="24"/>
                <w:szCs w:val="24"/>
              </w:rPr>
              <w:t>姓名</w:t>
            </w:r>
          </w:p>
        </w:tc>
        <w:tc>
          <w:tcPr>
            <w:tcW w:w="7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textAlignment w:val="auto"/>
              <w:rPr>
                <w:rFonts w:hint="eastAsia" w:ascii="仿宋_GB2312" w:hAnsi="仿宋"/>
                <w:sz w:val="24"/>
                <w:szCs w:val="24"/>
              </w:rPr>
            </w:pPr>
            <w:r>
              <w:rPr>
                <w:rFonts w:hint="eastAsia" w:ascii="仿宋_GB2312" w:hAnsi="仿宋"/>
                <w:sz w:val="24"/>
                <w:szCs w:val="24"/>
              </w:rPr>
              <w:t>性别</w:t>
            </w: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textAlignment w:val="auto"/>
              <w:rPr>
                <w:rFonts w:hint="eastAsia" w:ascii="仿宋_GB2312" w:hAnsi="仿宋"/>
                <w:sz w:val="24"/>
                <w:szCs w:val="24"/>
              </w:rPr>
            </w:pPr>
            <w:r>
              <w:rPr>
                <w:rFonts w:hint="eastAsia" w:ascii="仿宋_GB2312" w:hAnsi="仿宋"/>
                <w:sz w:val="24"/>
                <w:szCs w:val="24"/>
              </w:rPr>
              <w:t>年龄</w:t>
            </w: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textAlignment w:val="auto"/>
              <w:rPr>
                <w:rFonts w:hint="eastAsia" w:ascii="仿宋_GB2312" w:hAnsi="仿宋"/>
                <w:sz w:val="24"/>
                <w:szCs w:val="24"/>
              </w:rPr>
            </w:pPr>
            <w:r>
              <w:rPr>
                <w:rFonts w:hint="eastAsia" w:ascii="仿宋_GB2312" w:hAnsi="仿宋"/>
                <w:sz w:val="24"/>
                <w:szCs w:val="24"/>
              </w:rPr>
              <w:t>学（籍）号</w:t>
            </w:r>
          </w:p>
        </w:tc>
        <w:tc>
          <w:tcPr>
            <w:tcW w:w="39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498" w:firstLineChars="200"/>
              <w:textAlignment w:val="auto"/>
              <w:rPr>
                <w:rFonts w:hint="eastAsia" w:ascii="仿宋_GB2312" w:hAnsi="仿宋"/>
                <w:sz w:val="24"/>
                <w:szCs w:val="24"/>
              </w:rPr>
            </w:pPr>
            <w:r>
              <w:rPr>
                <w:rFonts w:hint="eastAsia" w:ascii="仿宋_GB2312" w:hAnsi="仿宋"/>
                <w:sz w:val="24"/>
                <w:szCs w:val="24"/>
              </w:rPr>
              <w:t>需要关注的主要方面</w:t>
            </w:r>
          </w:p>
          <w:p>
            <w:pPr>
              <w:keepNext w:val="0"/>
              <w:keepLines w:val="0"/>
              <w:pageBreakBefore w:val="0"/>
              <w:kinsoku/>
              <w:wordWrap/>
              <w:overflowPunct w:val="0"/>
              <w:topLinePunct w:val="0"/>
              <w:autoSpaceDN/>
              <w:bidi w:val="0"/>
              <w:adjustRightInd/>
              <w:spacing w:line="560" w:lineRule="exact"/>
              <w:ind w:firstLine="498" w:firstLineChars="200"/>
              <w:textAlignment w:val="auto"/>
              <w:rPr>
                <w:rFonts w:hint="eastAsia" w:ascii="仿宋_GB2312" w:hAnsi="仿宋"/>
                <w:sz w:val="24"/>
                <w:szCs w:val="24"/>
              </w:rPr>
            </w:pPr>
            <w:r>
              <w:rPr>
                <w:rFonts w:hint="eastAsia" w:ascii="仿宋_GB2312" w:hAnsi="仿宋"/>
                <w:sz w:val="24"/>
                <w:szCs w:val="24"/>
              </w:rPr>
              <w:t>（每人不超过50字）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39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39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8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79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141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c>
          <w:tcPr>
            <w:tcW w:w="39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p>
        </w:tc>
      </w:tr>
    </w:tbl>
    <w:p>
      <w:pPr>
        <w:keepNext w:val="0"/>
        <w:keepLines w:val="0"/>
        <w:pageBreakBefore w:val="0"/>
        <w:numPr>
          <w:ilvl w:val="0"/>
          <w:numId w:val="0"/>
        </w:numPr>
        <w:kinsoku/>
        <w:wordWrap/>
        <w:topLinePunct w:val="0"/>
        <w:autoSpaceDE w:val="0"/>
        <w:autoSpaceDN/>
        <w:bidi w:val="0"/>
        <w:adjustRightInd/>
        <w:spacing w:line="560" w:lineRule="exact"/>
        <w:ind w:firstLine="658" w:firstLineChars="200"/>
        <w:textAlignment w:val="auto"/>
        <w:rPr>
          <w:rFonts w:hint="eastAsia" w:ascii="楷体_GB2312" w:hAnsi="楷体" w:eastAsia="楷体_GB2312"/>
          <w:sz w:val="32"/>
          <w:szCs w:val="32"/>
        </w:rPr>
      </w:pPr>
    </w:p>
    <w:p>
      <w:pPr>
        <w:keepNext w:val="0"/>
        <w:keepLines w:val="0"/>
        <w:pageBreakBefore w:val="0"/>
        <w:numPr>
          <w:ilvl w:val="0"/>
          <w:numId w:val="0"/>
        </w:numPr>
        <w:kinsoku/>
        <w:wordWrap/>
        <w:topLinePunct w:val="0"/>
        <w:autoSpaceDE w:val="0"/>
        <w:autoSpaceDN/>
        <w:bidi w:val="0"/>
        <w:adjustRightInd/>
        <w:spacing w:line="560" w:lineRule="exact"/>
        <w:ind w:firstLine="658" w:firstLineChars="200"/>
        <w:textAlignment w:val="auto"/>
        <w:rPr>
          <w:rFonts w:hint="eastAsia" w:ascii="楷体_GB2312" w:hAnsi="楷体" w:eastAsia="楷体_GB2312"/>
          <w:sz w:val="32"/>
          <w:szCs w:val="32"/>
        </w:rPr>
      </w:pPr>
      <w:r>
        <w:rPr>
          <w:rFonts w:hint="eastAsia" w:ascii="楷体_GB2312" w:hAnsi="楷体" w:eastAsia="楷体_GB2312"/>
          <w:sz w:val="32"/>
          <w:szCs w:val="32"/>
        </w:rPr>
        <w:t>（二）班级教育故事</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1500字。</w:t>
      </w:r>
    </w:p>
    <w:p>
      <w:pPr>
        <w:keepNext w:val="0"/>
        <w:keepLines w:val="0"/>
        <w:pageBreakBefore w:val="0"/>
        <w:numPr>
          <w:ilvl w:val="0"/>
          <w:numId w:val="0"/>
        </w:numPr>
        <w:kinsoku/>
        <w:wordWrap/>
        <w:topLinePunct w:val="0"/>
        <w:autoSpaceDE w:val="0"/>
        <w:autoSpaceDN/>
        <w:bidi w:val="0"/>
        <w:adjustRightInd/>
        <w:spacing w:line="560" w:lineRule="exact"/>
        <w:ind w:firstLine="658" w:firstLineChars="200"/>
        <w:textAlignment w:val="auto"/>
        <w:rPr>
          <w:rFonts w:hint="eastAsia" w:ascii="楷体_GB2312" w:hAnsi="楷体" w:eastAsia="楷体_GB2312"/>
          <w:sz w:val="32"/>
          <w:szCs w:val="32"/>
        </w:rPr>
      </w:pPr>
      <w:r>
        <w:rPr>
          <w:rFonts w:hint="eastAsia" w:ascii="楷体_GB2312" w:hAnsi="楷体" w:eastAsia="楷体_GB2312"/>
          <w:sz w:val="32"/>
          <w:szCs w:val="32"/>
        </w:rPr>
        <w:t>（三）主题班会实录视频及方案</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选手按照班级建设方案的时间进度安排，选择1次备赛期间应正常安排的主题班会，录制1段实录视频，时长不超过40分钟，清晰呈现主题班会实况，展示学生面貌，并提供主题班会设计方案，附参加学生名单（仅姓名），字数不超过1000字。</w:t>
      </w:r>
    </w:p>
    <w:p>
      <w:pPr>
        <w:keepNext w:val="0"/>
        <w:keepLines w:val="0"/>
        <w:pageBreakBefore w:val="0"/>
        <w:numPr>
          <w:ilvl w:val="0"/>
          <w:numId w:val="0"/>
        </w:numPr>
        <w:kinsoku/>
        <w:wordWrap/>
        <w:topLinePunct w:val="0"/>
        <w:autoSpaceDE w:val="0"/>
        <w:autoSpaceDN/>
        <w:bidi w:val="0"/>
        <w:adjustRightInd/>
        <w:spacing w:line="560" w:lineRule="exact"/>
        <w:ind w:firstLine="658" w:firstLineChars="200"/>
        <w:textAlignment w:val="auto"/>
        <w:rPr>
          <w:rFonts w:hint="eastAsia" w:ascii="楷体_GB2312" w:hAnsi="楷体" w:eastAsia="楷体_GB2312"/>
          <w:sz w:val="32"/>
          <w:szCs w:val="32"/>
        </w:rPr>
      </w:pPr>
      <w:r>
        <w:rPr>
          <w:rFonts w:hint="eastAsia" w:ascii="楷体_GB2312" w:hAnsi="楷体" w:eastAsia="楷体_GB2312"/>
          <w:sz w:val="32"/>
          <w:szCs w:val="32"/>
        </w:rPr>
        <w:t>（四）专业人才培养方案</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选手提交经学校审核、所带班级实际使用的专业人才培养方案（不要求为参赛选手本人撰写），“方案”的制订和公开等应符合《教育部关于职业院校专业人才培养方案制订与实施工作的指导意见》（教职成〔2019〕13号）和《关于组织做好职业院校专业人才培养方案制订与实施工作的通知》（教职成司函〔2019〕61号）有关要求。</w:t>
      </w:r>
    </w:p>
    <w:p>
      <w:pPr>
        <w:keepNext w:val="0"/>
        <w:keepLines w:val="0"/>
        <w:pageBreakBefore w:val="0"/>
        <w:kinsoku/>
        <w:wordWrap/>
        <w:overflowPunct w:val="0"/>
        <w:topLinePunct w:val="0"/>
        <w:autoSpaceDN/>
        <w:bidi w:val="0"/>
        <w:adjustRightInd/>
        <w:spacing w:line="56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rPr>
        <w:t>二、参赛材料要求</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参赛材料应为原创，不得违反国家相关法律法规，不得侵犯他人知识产权，如引起知识产权异议或其他法律纠纷，其责任由参赛选手承担。除参赛选手事前特别声明外，</w:t>
      </w:r>
      <w:r>
        <w:rPr>
          <w:rFonts w:hint="eastAsia" w:ascii="仿宋_GB2312" w:hAnsi="仿宋"/>
          <w:sz w:val="32"/>
          <w:szCs w:val="32"/>
          <w:lang w:eastAsia="zh-CN"/>
        </w:rPr>
        <w:t>市教体局</w:t>
      </w:r>
      <w:r>
        <w:rPr>
          <w:rFonts w:hint="eastAsia" w:ascii="仿宋_GB2312" w:hAnsi="仿宋"/>
          <w:sz w:val="32"/>
          <w:szCs w:val="32"/>
        </w:rPr>
        <w:t>、</w:t>
      </w:r>
      <w:r>
        <w:rPr>
          <w:rFonts w:hint="eastAsia" w:ascii="仿宋_GB2312" w:hAnsi="仿宋"/>
          <w:sz w:val="32"/>
          <w:szCs w:val="32"/>
          <w:lang w:eastAsia="zh-CN"/>
        </w:rPr>
        <w:t>市人社局</w:t>
      </w:r>
      <w:r>
        <w:rPr>
          <w:rFonts w:hint="eastAsia" w:ascii="仿宋_GB2312" w:hAnsi="仿宋"/>
          <w:sz w:val="32"/>
          <w:szCs w:val="32"/>
        </w:rPr>
        <w:t>拥有对参赛材料进行公益性共享的权利。</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文档材料要求规范、简明、完整、朴实，以PDF格式提交，每个文件大小不超过100M。文档按“类型”命名，如“班级建设方案”等。</w:t>
      </w:r>
    </w:p>
    <w:p>
      <w:pPr>
        <w:keepNext w:val="0"/>
        <w:keepLines w:val="0"/>
        <w:pageBreakBefore w:val="0"/>
        <w:kinsoku/>
        <w:wordWrap/>
        <w:overflowPunct w:val="0"/>
        <w:topLinePunct w:val="0"/>
        <w:autoSpaceDN/>
        <w:bidi w:val="0"/>
        <w:adjustRightInd/>
        <w:spacing w:line="560" w:lineRule="exact"/>
        <w:ind w:firstLine="658" w:firstLineChars="200"/>
        <w:textAlignment w:val="auto"/>
        <w:rPr>
          <w:rFonts w:hint="eastAsia" w:ascii="仿宋_GB2312" w:hAnsi="仿宋"/>
          <w:sz w:val="32"/>
          <w:szCs w:val="32"/>
        </w:rPr>
      </w:pPr>
      <w:r>
        <w:rPr>
          <w:rFonts w:hint="eastAsia" w:ascii="仿宋_GB2312" w:hAnsi="仿宋"/>
          <w:sz w:val="32"/>
          <w:szCs w:val="32"/>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keepNext w:val="0"/>
        <w:keepLines w:val="0"/>
        <w:pageBreakBefore w:val="0"/>
        <w:kinsoku/>
        <w:wordWrap/>
        <w:overflowPunct w:val="0"/>
        <w:topLinePunct w:val="0"/>
        <w:autoSpaceDN/>
        <w:bidi w:val="0"/>
        <w:adjustRightInd/>
        <w:spacing w:line="560" w:lineRule="exact"/>
        <w:textAlignment w:val="auto"/>
        <w:rPr>
          <w:rFonts w:hint="eastAsia" w:ascii="黑体" w:hAnsi="黑体" w:eastAsia="黑体"/>
          <w:sz w:val="32"/>
          <w:szCs w:val="32"/>
        </w:rPr>
      </w:pPr>
      <w:r>
        <w:rPr>
          <w:rFonts w:hint="eastAsia" w:ascii="仿宋_GB2312" w:hAnsi="仿宋"/>
          <w:sz w:val="32"/>
          <w:szCs w:val="32"/>
        </w:rPr>
        <w:br w:type="page"/>
      </w:r>
      <w:r>
        <w:rPr>
          <w:rFonts w:hint="eastAsia" w:ascii="黑体" w:hAnsi="黑体" w:eastAsia="黑体"/>
          <w:sz w:val="32"/>
          <w:szCs w:val="32"/>
        </w:rPr>
        <w:t>附件3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641"/>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平顶山市中等职业学校班主任能力大赛决赛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安排及要求</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决赛环节</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1.班级建设方案实施情况介绍。参赛选手介绍所带班级自组建以来,班级建设方案实施过程与成效、学生成长、反思改进等方面情况,重点介绍班风学风建设的具体举措和育人实效,突出贯彻新修订的职业教育法等重大事件和重要时间节点建班育人的创新举措和成效,可用图片、视频、已建立并实际执行的班级制度文本等加以佐证。</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2.班级活动策划。参赛选手根据中等职业学校学生思想道德教育、人才培养等有关规定和要求,结合抽定的主题分析相关方面教育元素、教育目标、教育内容,基于班级实际,选取恰当的活动形式和教育方法,策划本班级一次主动开展的学习、宣传、教育等方面活动,制订活动方案,打印纸质版供评委查阅,并作简要介绍。</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3.模拟情景处置。参赛选手根据抽定的模拟情景,深入体验和思考,分析蕴含的典型问题和原因,准备解决问题的策略、方法、实施方案和有关依据,并向评委作简要介绍。</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4.答辩。评委根据参赛选手事先提交的参赛材料、现场打印的班级活动方案和现场展示介绍的内容,集体讨论提出3个问题,并从班级活动实录视频参加学生名单中抽取1人。参赛选手针对屏幕呈现的问题(评委不再复述或解读),逐一回答并阐述个人观点(可以展示佐证资料),介绍评委所抽定学生基本情况和入学以来成长、变化情况,以及在这次班级活动中担任的角色、发挥的作用。</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outlineLvl w:val="0"/>
        <w:rPr>
          <w:rFonts w:hint="eastAsia" w:ascii="黑体" w:hAnsi="黑体" w:eastAsia="黑体"/>
          <w:sz w:val="32"/>
          <w:szCs w:val="32"/>
        </w:rPr>
      </w:pPr>
      <w:r>
        <w:rPr>
          <w:rFonts w:hint="eastAsia" w:ascii="黑体" w:hAnsi="黑体" w:eastAsia="黑体"/>
          <w:sz w:val="32"/>
          <w:szCs w:val="32"/>
        </w:rPr>
        <w:t>二、时间和场地安排</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1.入围决赛的参赛选手赛前一天报到并熟悉赛场,抽签决定比赛顺序。</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2.决赛当天,参赛选手按抽签顺序进入备赛室,抽签确定活动主题和模拟情景(赛前公布范围),时间不超过5分钟。</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3.参赛选手在备赛室封闭准备,根据抽定的活动主题和模拟情景,使用自带的电脑和资源,完成有关准备,时间不超过40分钟。备赛室提供打印服务,不提供互联网服务,参赛选手不可使用自带设备接入互联网或对外联系。</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4.参赛选手按时进入比赛室,简要介绍班级建设方案实施情况(8分钟左右)、班级活动方案(6分钟左右)和模拟情景处置方案(6分钟左右),合计不超过20分钟。</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5.评委讨论答辩环节使用的问题和抽取学生时间不超过10分钟,参赛选手回避。</w:t>
      </w:r>
    </w:p>
    <w:p>
      <w:pPr>
        <w:keepNext w:val="0"/>
        <w:keepLines w:val="0"/>
        <w:pageBreakBefore w:val="0"/>
        <w:widowControl w:val="0"/>
        <w:kinsoku/>
        <w:wordWrap/>
        <w:overflowPunct w:val="0"/>
        <w:topLinePunct w:val="0"/>
        <w:autoSpaceDE/>
        <w:autoSpaceDN/>
        <w:bidi w:val="0"/>
        <w:adjustRightInd/>
        <w:snapToGrid/>
        <w:spacing w:line="540" w:lineRule="exact"/>
        <w:ind w:firstLine="658" w:firstLineChars="200"/>
        <w:textAlignment w:val="auto"/>
        <w:rPr>
          <w:rFonts w:hint="eastAsia" w:ascii="仿宋_GB2312" w:hAnsi="仿宋"/>
          <w:sz w:val="32"/>
          <w:szCs w:val="32"/>
        </w:rPr>
      </w:pPr>
      <w:r>
        <w:rPr>
          <w:rFonts w:hint="eastAsia" w:ascii="仿宋_GB2312" w:hAnsi="仿宋"/>
          <w:sz w:val="32"/>
          <w:szCs w:val="32"/>
        </w:rPr>
        <w:t>6.参赛选手答辩时间不超过8分钟(含读题审题),在时间允许的情况下,评委可以追问。</w:t>
      </w:r>
    </w:p>
    <w:p>
      <w:pPr>
        <w:bidi w:val="0"/>
        <w:rPr>
          <w:rFonts w:hint="eastAsia"/>
          <w:sz w:val="32"/>
          <w:szCs w:val="32"/>
        </w:rPr>
      </w:pPr>
    </w:p>
    <w:p>
      <w:pPr>
        <w:bidi w:val="0"/>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641"/>
        <w:jc w:val="left"/>
        <w:textAlignment w:val="auto"/>
        <w:rPr>
          <w:rFonts w:hint="default" w:ascii="黑体" w:hAnsi="黑体" w:eastAsia="黑体"/>
          <w:kern w:val="0"/>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参赛名额分配表</w:t>
      </w:r>
    </w:p>
    <w:tbl>
      <w:tblPr>
        <w:tblStyle w:val="6"/>
        <w:tblpPr w:leftFromText="180" w:rightFromText="180" w:vertAnchor="text" w:horzAnchor="page" w:tblpX="1905" w:tblpY="143"/>
        <w:tblOverlap w:val="never"/>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_GB2312" w:hAnsi="仿宋" w:cs="Times New Roman"/>
                <w:b/>
                <w:bCs/>
                <w:sz w:val="28"/>
                <w:szCs w:val="28"/>
              </w:rPr>
            </w:pPr>
            <w:r>
              <w:rPr>
                <w:rFonts w:hint="eastAsia" w:ascii="??_GB2312" w:hAnsi="仿宋" w:cs="宋体"/>
                <w:b/>
                <w:bCs/>
                <w:sz w:val="28"/>
                <w:szCs w:val="28"/>
              </w:rPr>
              <w:t>单位</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_GB2312" w:hAnsi="仿宋" w:eastAsia="仿宋_GB2312" w:cs="Times New Roman"/>
                <w:b/>
                <w:bCs/>
                <w:sz w:val="28"/>
                <w:szCs w:val="28"/>
                <w:lang w:eastAsia="zh-CN"/>
              </w:rPr>
            </w:pPr>
            <w:r>
              <w:rPr>
                <w:rFonts w:hint="eastAsia" w:ascii="??_GB2312" w:hAnsi="仿宋" w:cs="宋体"/>
                <w:b/>
                <w:bCs/>
                <w:sz w:val="28"/>
                <w:szCs w:val="28"/>
              </w:rPr>
              <w:t>推荐名额</w:t>
            </w:r>
            <w:r>
              <w:rPr>
                <w:rFonts w:hint="eastAsia" w:ascii="??_GB2312" w:hAnsi="仿宋" w:cs="宋体"/>
                <w:b/>
                <w:bCs/>
                <w:sz w:val="28"/>
                <w:szCs w:val="28"/>
                <w:lang w:eastAsia="zh-CN"/>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舞钢市</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宝丰县</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郏县</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鲁山县</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叶县</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汝州市中等专业学校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平顶山市中医药学校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平顶山市财经学校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平顶山市工业学校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平顶山外国语学校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平顶山市体育运动学校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平顶山职业技术学院</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平顶山技师学院</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汝州技师学院</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河南质量工程职业学院</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平顶山工业职业技术学院</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4"/>
                <w:szCs w:val="24"/>
                <w:lang w:val="en"/>
              </w:rPr>
            </w:pPr>
            <w:r>
              <w:rPr>
                <w:rFonts w:hint="eastAsia" w:ascii="仿宋_GB2312" w:hAnsi="仿宋_GB2312" w:eastAsia="仿宋_GB2312" w:cs="仿宋_GB2312"/>
                <w:sz w:val="24"/>
                <w:szCs w:val="24"/>
                <w:lang w:val="en"/>
              </w:rPr>
              <w:t>(</w:t>
            </w:r>
            <w:r>
              <w:rPr>
                <w:rFonts w:hint="eastAsia" w:ascii="仿宋_GB2312" w:hAnsi="仿宋_GB2312" w:eastAsia="仿宋_GB2312" w:cs="仿宋_GB2312"/>
                <w:sz w:val="24"/>
                <w:szCs w:val="24"/>
                <w:lang w:val="en" w:eastAsia="zh-CN"/>
              </w:rPr>
              <w:t>含平顶山煤炭技师学院</w:t>
            </w:r>
            <w:r>
              <w:rPr>
                <w:rFonts w:hint="eastAsia" w:ascii="仿宋_GB2312" w:hAnsi="仿宋_GB2312" w:eastAsia="仿宋_GB2312" w:cs="仿宋_GB2312"/>
                <w:sz w:val="24"/>
                <w:szCs w:val="24"/>
                <w:lang w:val="en"/>
              </w:rPr>
              <w:t>)</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河南</w:t>
            </w:r>
            <w:r>
              <w:rPr>
                <w:rFonts w:hint="eastAsia" w:ascii="仿宋_GB2312" w:hAnsi="仿宋_GB2312" w:eastAsia="仿宋_GB2312" w:cs="仿宋_GB2312"/>
                <w:sz w:val="24"/>
                <w:szCs w:val="24"/>
                <w:lang w:val="en-US" w:eastAsia="zh-CN"/>
              </w:rPr>
              <w:t>省医药</w:t>
            </w:r>
            <w:r>
              <w:rPr>
                <w:rFonts w:hint="eastAsia" w:ascii="仿宋_GB2312" w:hAnsi="仿宋_GB2312" w:eastAsia="仿宋_GB2312" w:cs="仿宋_GB2312"/>
                <w:sz w:val="24"/>
                <w:szCs w:val="24"/>
              </w:rPr>
              <w:t>卫生学校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平顶山市增彩技工学校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舞钢冶金高级技工学校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43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合计</w:t>
            </w:r>
          </w:p>
        </w:tc>
        <w:tc>
          <w:tcPr>
            <w:tcW w:w="40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r>
    </w:tbl>
    <w:p>
      <w:pPr>
        <w:pStyle w:val="2"/>
        <w:spacing w:before="11" w:line="360" w:lineRule="auto"/>
        <w:ind w:left="0" w:leftChars="0" w:firstLine="289" w:firstLineChars="100"/>
        <w:rPr>
          <w:rFonts w:hint="default" w:ascii="仿宋_GB2312" w:hAnsi="仿宋_GB2312" w:eastAsia="仿宋_GB2312" w:cs="仿宋_GB2312"/>
          <w:b w:val="0"/>
          <w:bCs w:val="0"/>
          <w:color w:val="000000"/>
          <w:sz w:val="28"/>
          <w:szCs w:val="28"/>
          <w:lang w:val="en-US" w:eastAsia="zh-CN"/>
        </w:rPr>
      </w:pPr>
      <w:r>
        <w:rPr>
          <w:rFonts w:hint="eastAsia" w:cs="仿宋_GB2312"/>
          <w:b w:val="0"/>
          <w:bCs w:val="0"/>
          <w:color w:val="000000"/>
          <w:sz w:val="28"/>
          <w:szCs w:val="28"/>
          <w:lang w:val="en-US" w:eastAsia="zh-CN"/>
        </w:rPr>
        <w:t>注：每组每个团队2-3人。</w:t>
      </w:r>
    </w:p>
    <w:p>
      <w:pPr>
        <w:widowControl/>
        <w:jc w:val="left"/>
        <w:rPr>
          <w:rFonts w:ascii="黑体" w:hAnsi="黑体" w:eastAsia="黑体" w:cs="宋体"/>
        </w:rPr>
        <w:sectPr>
          <w:footerReference r:id="rId3" w:type="default"/>
          <w:footerReference r:id="rId4" w:type="even"/>
          <w:pgSz w:w="11906" w:h="16838"/>
          <w:pgMar w:top="2098" w:right="1474" w:bottom="1984" w:left="1587" w:header="850" w:footer="992" w:gutter="0"/>
          <w:pgNumType w:fmt="numberInDash"/>
          <w:cols w:space="720" w:num="1"/>
          <w:docGrid w:type="linesAndChars" w:linePitch="579" w:charSpace="2004"/>
        </w:sectPr>
      </w:pPr>
    </w:p>
    <w:p>
      <w:pPr>
        <w:overflowPunct w:val="0"/>
        <w:outlineLvl w:val="0"/>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overflowPunct w:val="0"/>
        <w:outlineLvl w:val="0"/>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参赛报名表</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ascii="仿宋_GB2312" w:hAnsi="仿宋_GB2312" w:eastAsia="宋体" w:cs="仿宋_GB2312"/>
          <w:b/>
          <w:sz w:val="44"/>
          <w:szCs w:val="44"/>
        </w:rPr>
      </w:pPr>
    </w:p>
    <w:p>
      <w:pPr>
        <w:overflowPunct w:val="0"/>
        <w:jc w:val="center"/>
        <w:outlineLvl w:val="0"/>
        <w:rPr>
          <w:rFonts w:hint="eastAsia" w:ascii="黑体" w:hAnsi="黑体" w:eastAsia="黑体"/>
        </w:rPr>
      </w:pPr>
      <w:r>
        <w:rPr>
          <w:rFonts w:hint="eastAsia" w:ascii="黑体" w:hAnsi="黑体" w:eastAsia="黑体"/>
        </w:rPr>
        <w:t>参赛选手基本信息</w:t>
      </w:r>
    </w:p>
    <w:tbl>
      <w:tblPr>
        <w:tblStyle w:val="6"/>
        <w:tblW w:w="0" w:type="auto"/>
        <w:jc w:val="center"/>
        <w:tblLayout w:type="fixed"/>
        <w:tblCellMar>
          <w:top w:w="0" w:type="dxa"/>
          <w:left w:w="108" w:type="dxa"/>
          <w:bottom w:w="0" w:type="dxa"/>
          <w:right w:w="108" w:type="dxa"/>
        </w:tblCellMar>
      </w:tblPr>
      <w:tblGrid>
        <w:gridCol w:w="1526"/>
        <w:gridCol w:w="1163"/>
        <w:gridCol w:w="1016"/>
        <w:gridCol w:w="1110"/>
        <w:gridCol w:w="924"/>
        <w:gridCol w:w="879"/>
        <w:gridCol w:w="1395"/>
        <w:gridCol w:w="776"/>
      </w:tblGrid>
      <w:tr>
        <w:tblPrEx>
          <w:tblCellMar>
            <w:top w:w="0" w:type="dxa"/>
            <w:left w:w="108" w:type="dxa"/>
            <w:bottom w:w="0" w:type="dxa"/>
            <w:right w:w="108" w:type="dxa"/>
          </w:tblCellMar>
        </w:tblPrEx>
        <w:trPr>
          <w:trHeight w:val="340" w:hRule="atLeast"/>
          <w:jc w:val="center"/>
        </w:trPr>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学校全称</w:t>
            </w:r>
          </w:p>
        </w:tc>
        <w:tc>
          <w:tcPr>
            <w:tcW w:w="6100" w:type="dxa"/>
            <w:gridSpan w:val="6"/>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姓名</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（主讲人）</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性别</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民族</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教龄</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职务</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职称</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学历</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班主任</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工作年限</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姓名</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（成员）</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性别</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民族</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教龄</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职务</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职称</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学历</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班主任</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工作年限</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姓名</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（成员）</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性别</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民族</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教龄</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34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职务</w:t>
            </w:r>
          </w:p>
        </w:tc>
        <w:tc>
          <w:tcPr>
            <w:tcW w:w="116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01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职称</w:t>
            </w:r>
          </w:p>
        </w:tc>
        <w:tc>
          <w:tcPr>
            <w:tcW w:w="111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924"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学历</w:t>
            </w:r>
          </w:p>
        </w:tc>
        <w:tc>
          <w:tcPr>
            <w:tcW w:w="879"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c>
          <w:tcPr>
            <w:tcW w:w="1395"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班主任</w:t>
            </w:r>
          </w:p>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工作年限</w:t>
            </w:r>
          </w:p>
        </w:tc>
        <w:tc>
          <w:tcPr>
            <w:tcW w:w="776"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p>
        </w:tc>
      </w:tr>
    </w:tbl>
    <w:p>
      <w:pPr>
        <w:overflowPunct w:val="0"/>
        <w:jc w:val="center"/>
        <w:rPr>
          <w:rFonts w:hint="eastAsia" w:ascii="仿宋_GB2312" w:hAnsi="仿宋_GB2312" w:eastAsia="宋体" w:cs="仿宋_GB2312"/>
          <w:b/>
          <w:color w:val="000000"/>
          <w:sz w:val="28"/>
          <w:szCs w:val="28"/>
        </w:rPr>
      </w:pPr>
      <w:r>
        <w:rPr>
          <w:rFonts w:hint="eastAsia" w:ascii="仿宋_GB2312" w:hAnsi="仿宋_GB2312" w:cs="仿宋_GB2312"/>
          <w:b/>
          <w:color w:val="000000"/>
          <w:sz w:val="28"/>
          <w:szCs w:val="28"/>
        </w:rPr>
        <w:t xml:space="preserve"> </w:t>
      </w:r>
    </w:p>
    <w:p>
      <w:pPr>
        <w:overflowPunct w:val="0"/>
        <w:jc w:val="center"/>
        <w:outlineLvl w:val="0"/>
        <w:rPr>
          <w:rFonts w:hint="eastAsia" w:ascii="黑体" w:hAnsi="黑体" w:eastAsia="黑体"/>
        </w:rPr>
      </w:pPr>
      <w:r>
        <w:rPr>
          <w:rFonts w:hint="eastAsia" w:ascii="黑体" w:hAnsi="黑体" w:eastAsia="黑体"/>
        </w:rPr>
        <w:t>主讲人所带班级基本信息</w:t>
      </w:r>
    </w:p>
    <w:tbl>
      <w:tblPr>
        <w:tblStyle w:val="6"/>
        <w:tblW w:w="0" w:type="auto"/>
        <w:jc w:val="center"/>
        <w:tblLayout w:type="fixed"/>
        <w:tblCellMar>
          <w:top w:w="0" w:type="dxa"/>
          <w:left w:w="108" w:type="dxa"/>
          <w:bottom w:w="0" w:type="dxa"/>
          <w:right w:w="108" w:type="dxa"/>
        </w:tblCellMar>
      </w:tblPr>
      <w:tblGrid>
        <w:gridCol w:w="1701"/>
        <w:gridCol w:w="988"/>
        <w:gridCol w:w="429"/>
        <w:gridCol w:w="1417"/>
        <w:gridCol w:w="1417"/>
        <w:gridCol w:w="1417"/>
        <w:gridCol w:w="1420"/>
      </w:tblGrid>
      <w:tr>
        <w:tblPrEx>
          <w:tblCellMar>
            <w:top w:w="0" w:type="dxa"/>
            <w:left w:w="108" w:type="dxa"/>
            <w:bottom w:w="0" w:type="dxa"/>
            <w:right w:w="108" w:type="dxa"/>
          </w:tblCellMar>
        </w:tblPrEx>
        <w:trPr>
          <w:trHeight w:val="397" w:hRule="atLeast"/>
          <w:jc w:val="center"/>
        </w:trPr>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班级学制</w:t>
            </w:r>
          </w:p>
        </w:tc>
        <w:tc>
          <w:tcPr>
            <w:tcW w:w="6100" w:type="dxa"/>
            <w:gridSpan w:val="5"/>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宋体" w:hAnsi="宋体" w:cs="仿宋_GB2312"/>
                <w:sz w:val="24"/>
                <w:szCs w:val="24"/>
              </w:rPr>
              <w:t>□三年制中职 □五年制高职 □其他</w:t>
            </w:r>
          </w:p>
        </w:tc>
      </w:tr>
      <w:tr>
        <w:tblPrEx>
          <w:tblCellMar>
            <w:top w:w="0" w:type="dxa"/>
            <w:left w:w="108" w:type="dxa"/>
            <w:bottom w:w="0" w:type="dxa"/>
            <w:right w:w="108" w:type="dxa"/>
          </w:tblCellMar>
        </w:tblPrEx>
        <w:trPr>
          <w:trHeight w:val="397" w:hRule="atLeast"/>
          <w:jc w:val="center"/>
        </w:trPr>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20</w:t>
            </w:r>
            <w:r>
              <w:rPr>
                <w:rFonts w:hint="eastAsia" w:ascii="仿宋_GB2312" w:hAnsi="仿宋_GB2312" w:cs="仿宋_GB2312"/>
                <w:sz w:val="24"/>
                <w:szCs w:val="24"/>
                <w:lang w:val="en-US" w:eastAsia="zh-CN"/>
              </w:rPr>
              <w:t>23</w:t>
            </w:r>
            <w:r>
              <w:rPr>
                <w:rFonts w:hint="eastAsia" w:ascii="宋体" w:hAnsi="宋体" w:cs="仿宋_GB2312"/>
                <w:sz w:val="24"/>
                <w:szCs w:val="24"/>
              </w:rPr>
              <w:t>—</w:t>
            </w:r>
            <w:r>
              <w:rPr>
                <w:rFonts w:hint="eastAsia" w:ascii="仿宋_GB2312" w:hAnsi="仿宋_GB2312" w:cs="仿宋_GB2312"/>
                <w:sz w:val="24"/>
                <w:szCs w:val="24"/>
              </w:rPr>
              <w:t>20</w:t>
            </w:r>
            <w:r>
              <w:rPr>
                <w:rFonts w:hint="eastAsia" w:ascii="仿宋_GB2312" w:hAnsi="仿宋_GB2312" w:cs="仿宋_GB2312"/>
                <w:sz w:val="24"/>
                <w:szCs w:val="24"/>
                <w:lang w:val="en-US" w:eastAsia="zh-CN"/>
              </w:rPr>
              <w:t>24</w:t>
            </w:r>
            <w:r>
              <w:rPr>
                <w:rFonts w:hint="eastAsia" w:ascii="宋体" w:hAnsi="宋体" w:cs="仿宋_GB2312"/>
                <w:sz w:val="24"/>
                <w:szCs w:val="24"/>
              </w:rPr>
              <w:t>学年</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班级所在年级</w:t>
            </w:r>
          </w:p>
        </w:tc>
        <w:tc>
          <w:tcPr>
            <w:tcW w:w="6100" w:type="dxa"/>
            <w:gridSpan w:val="5"/>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宋体" w:hAnsi="宋体" w:cs="仿宋_GB2312"/>
                <w:sz w:val="24"/>
                <w:szCs w:val="24"/>
              </w:rPr>
              <w:t>□一年级 □二年级 □三年级 □其他</w:t>
            </w:r>
          </w:p>
        </w:tc>
      </w:tr>
      <w:tr>
        <w:tblPrEx>
          <w:tblCellMar>
            <w:top w:w="0" w:type="dxa"/>
            <w:left w:w="108" w:type="dxa"/>
            <w:bottom w:w="0" w:type="dxa"/>
            <w:right w:w="108" w:type="dxa"/>
          </w:tblCellMar>
        </w:tblPrEx>
        <w:trPr>
          <w:trHeight w:val="397" w:hRule="atLeast"/>
          <w:jc w:val="center"/>
        </w:trPr>
        <w:tc>
          <w:tcPr>
            <w:tcW w:w="2689" w:type="dxa"/>
            <w:gridSpan w:val="2"/>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是否为所带班级</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任课教师</w:t>
            </w:r>
          </w:p>
        </w:tc>
        <w:tc>
          <w:tcPr>
            <w:tcW w:w="6100" w:type="dxa"/>
            <w:gridSpan w:val="5"/>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宋体" w:hAnsi="宋体" w:cs="仿宋_GB2312"/>
                <w:sz w:val="24"/>
                <w:szCs w:val="24"/>
              </w:rPr>
              <w:t>□非任课教师</w:t>
            </w:r>
          </w:p>
          <w:p>
            <w:pPr>
              <w:overflowPunct w:val="0"/>
              <w:snapToGrid w:val="0"/>
              <w:jc w:val="center"/>
              <w:rPr>
                <w:rFonts w:ascii="仿宋_GB2312" w:hAnsi="仿宋_GB2312" w:cs="仿宋_GB2312"/>
                <w:sz w:val="24"/>
                <w:szCs w:val="24"/>
              </w:rPr>
            </w:pPr>
            <w:r>
              <w:rPr>
                <w:rFonts w:hint="eastAsia" w:ascii="宋体" w:hAnsi="宋体" w:cs="仿宋_GB2312"/>
                <w:sz w:val="24"/>
                <w:szCs w:val="24"/>
              </w:rPr>
              <w:t>□公共基础课教师  □专业课教师</w:t>
            </w:r>
          </w:p>
        </w:tc>
      </w:tr>
      <w:tr>
        <w:tblPrEx>
          <w:tblCellMar>
            <w:top w:w="0" w:type="dxa"/>
            <w:left w:w="108" w:type="dxa"/>
            <w:bottom w:w="0" w:type="dxa"/>
            <w:right w:w="108" w:type="dxa"/>
          </w:tblCellMar>
        </w:tblPrEx>
        <w:trPr>
          <w:trHeight w:val="39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班级所属</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专业名称</w:t>
            </w:r>
          </w:p>
        </w:tc>
        <w:tc>
          <w:tcPr>
            <w:tcW w:w="2834" w:type="dxa"/>
            <w:gridSpan w:val="3"/>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专业代码</w:t>
            </w:r>
          </w:p>
        </w:tc>
        <w:tc>
          <w:tcPr>
            <w:tcW w:w="2837" w:type="dxa"/>
            <w:gridSpan w:val="2"/>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p>
        </w:tc>
      </w:tr>
      <w:tr>
        <w:tblPrEx>
          <w:tblCellMar>
            <w:top w:w="0" w:type="dxa"/>
            <w:left w:w="108" w:type="dxa"/>
            <w:bottom w:w="0" w:type="dxa"/>
            <w:right w:w="108" w:type="dxa"/>
          </w:tblCellMar>
        </w:tblPrEx>
        <w:trPr>
          <w:trHeight w:val="39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班级人数</w:t>
            </w:r>
          </w:p>
        </w:tc>
        <w:tc>
          <w:tcPr>
            <w:tcW w:w="1417" w:type="dxa"/>
            <w:gridSpan w:val="2"/>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男生人数</w:t>
            </w:r>
          </w:p>
        </w:tc>
        <w:tc>
          <w:tcPr>
            <w:tcW w:w="1417"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女生人数</w:t>
            </w:r>
          </w:p>
        </w:tc>
        <w:tc>
          <w:tcPr>
            <w:tcW w:w="1420"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r>
      <w:tr>
        <w:tblPrEx>
          <w:tblCellMar>
            <w:top w:w="0" w:type="dxa"/>
            <w:left w:w="108" w:type="dxa"/>
            <w:bottom w:w="0" w:type="dxa"/>
            <w:right w:w="108" w:type="dxa"/>
          </w:tblCellMar>
        </w:tblPrEx>
        <w:trPr>
          <w:trHeight w:val="397" w:hRule="atLeast"/>
          <w:jc w:val="center"/>
        </w:trPr>
        <w:tc>
          <w:tcPr>
            <w:tcW w:w="1701"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身份证号码</w:t>
            </w:r>
          </w:p>
        </w:tc>
        <w:tc>
          <w:tcPr>
            <w:tcW w:w="2834" w:type="dxa"/>
            <w:gridSpan w:val="3"/>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c>
          <w:tcPr>
            <w:tcW w:w="1417"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仿宋_GB2312" w:hAnsi="仿宋_GB2312" w:cs="仿宋_GB2312"/>
                <w:sz w:val="24"/>
                <w:szCs w:val="24"/>
              </w:rPr>
              <w:t>联系电话</w:t>
            </w:r>
          </w:p>
        </w:tc>
        <w:tc>
          <w:tcPr>
            <w:tcW w:w="2837" w:type="dxa"/>
            <w:gridSpan w:val="2"/>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p>
        </w:tc>
      </w:tr>
    </w:tbl>
    <w:p>
      <w:pPr>
        <w:overflowPunct w:val="0"/>
        <w:jc w:val="center"/>
        <w:outlineLvl w:val="0"/>
        <w:rPr>
          <w:rFonts w:ascii="黑体" w:hAnsi="黑体" w:eastAsia="黑体"/>
        </w:rPr>
        <w:sectPr>
          <w:headerReference r:id="rId5" w:type="default"/>
          <w:footerReference r:id="rId6" w:type="default"/>
          <w:pgSz w:w="11906" w:h="16838"/>
          <w:pgMar w:top="1644" w:right="1588" w:bottom="2268" w:left="1644" w:header="850" w:footer="992" w:gutter="0"/>
          <w:pgNumType w:fmt="numberInDash"/>
          <w:cols w:space="720" w:num="1"/>
          <w:docGrid w:type="lines" w:linePitch="579" w:charSpace="0"/>
        </w:sectPr>
      </w:pPr>
    </w:p>
    <w:p>
      <w:pPr>
        <w:overflowPunct w:val="0"/>
        <w:jc w:val="center"/>
        <w:outlineLvl w:val="0"/>
        <w:rPr>
          <w:rFonts w:hint="eastAsia" w:ascii="黑体" w:hAnsi="黑体" w:eastAsia="黑体"/>
        </w:rPr>
      </w:pPr>
      <w:r>
        <w:rPr>
          <w:rFonts w:hint="eastAsia" w:ascii="黑体" w:hAnsi="黑体" w:eastAsia="黑体"/>
        </w:rPr>
        <w:t>参赛承诺与说明</w:t>
      </w:r>
    </w:p>
    <w:tbl>
      <w:tblPr>
        <w:tblStyle w:val="6"/>
        <w:tblW w:w="0" w:type="auto"/>
        <w:jc w:val="center"/>
        <w:tblLayout w:type="fixed"/>
        <w:tblCellMar>
          <w:top w:w="0" w:type="dxa"/>
          <w:left w:w="108" w:type="dxa"/>
          <w:bottom w:w="0" w:type="dxa"/>
          <w:right w:w="108" w:type="dxa"/>
        </w:tblCellMar>
      </w:tblPr>
      <w:tblGrid>
        <w:gridCol w:w="3738"/>
        <w:gridCol w:w="656"/>
        <w:gridCol w:w="2484"/>
        <w:gridCol w:w="1911"/>
      </w:tblGrid>
      <w:tr>
        <w:tblPrEx>
          <w:tblCellMar>
            <w:top w:w="0" w:type="dxa"/>
            <w:left w:w="108" w:type="dxa"/>
            <w:bottom w:w="0" w:type="dxa"/>
            <w:right w:w="108" w:type="dxa"/>
          </w:tblCellMar>
        </w:tblPrEx>
        <w:trPr>
          <w:trHeight w:val="794" w:hRule="atLeast"/>
          <w:jc w:val="center"/>
        </w:trPr>
        <w:tc>
          <w:tcPr>
            <w:tcW w:w="687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主讲人在202</w:t>
            </w:r>
            <w:r>
              <w:rPr>
                <w:rFonts w:hint="eastAsia" w:ascii="仿宋_GB2312" w:hAnsi="仿宋_GB2312" w:cs="仿宋_GB2312"/>
                <w:color w:val="000000"/>
                <w:sz w:val="24"/>
                <w:szCs w:val="24"/>
                <w:lang w:val="en-US" w:eastAsia="zh-CN"/>
              </w:rPr>
              <w:t>3</w:t>
            </w:r>
            <w:r>
              <w:rPr>
                <w:rFonts w:hint="eastAsia" w:ascii="宋体" w:hAnsi="宋体" w:cs="仿宋_GB2312"/>
                <w:color w:val="000000"/>
                <w:sz w:val="24"/>
                <w:szCs w:val="24"/>
              </w:rPr>
              <w:t>—</w:t>
            </w:r>
            <w:r>
              <w:rPr>
                <w:rFonts w:hint="eastAsia" w:ascii="仿宋_GB2312" w:hAnsi="仿宋_GB2312" w:cs="仿宋_GB2312"/>
                <w:color w:val="000000"/>
                <w:sz w:val="24"/>
                <w:szCs w:val="24"/>
              </w:rPr>
              <w:t>202</w:t>
            </w:r>
            <w:r>
              <w:rPr>
                <w:rFonts w:hint="eastAsia" w:ascii="仿宋_GB2312" w:hAnsi="仿宋_GB2312" w:cs="仿宋_GB2312"/>
                <w:color w:val="000000"/>
                <w:sz w:val="24"/>
                <w:szCs w:val="24"/>
                <w:lang w:val="en-US" w:eastAsia="zh-CN"/>
              </w:rPr>
              <w:t>4</w:t>
            </w:r>
            <w:r>
              <w:rPr>
                <w:rFonts w:hint="eastAsia" w:ascii="宋体" w:hAnsi="宋体" w:cs="仿宋_GB2312"/>
                <w:color w:val="000000"/>
                <w:sz w:val="24"/>
                <w:szCs w:val="24"/>
              </w:rPr>
              <w:t>学年实际担任班主任，且所带班级学生目前为在校状态</w:t>
            </w:r>
          </w:p>
        </w:tc>
        <w:tc>
          <w:tcPr>
            <w:tcW w:w="1911"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宋体" w:hAnsi="宋体" w:cs="仿宋_GB2312"/>
                <w:sz w:val="24"/>
                <w:szCs w:val="24"/>
              </w:rPr>
              <w:t>□是  □否</w:t>
            </w:r>
          </w:p>
        </w:tc>
      </w:tr>
      <w:tr>
        <w:tblPrEx>
          <w:tblCellMar>
            <w:top w:w="0" w:type="dxa"/>
            <w:left w:w="108" w:type="dxa"/>
            <w:bottom w:w="0" w:type="dxa"/>
            <w:right w:w="108" w:type="dxa"/>
          </w:tblCellMar>
        </w:tblPrEx>
        <w:trPr>
          <w:trHeight w:val="567" w:hRule="atLeast"/>
          <w:jc w:val="center"/>
        </w:trPr>
        <w:tc>
          <w:tcPr>
            <w:tcW w:w="687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以上填报专业备案信息、班级和个人信息均真实无误</w:t>
            </w:r>
          </w:p>
        </w:tc>
        <w:tc>
          <w:tcPr>
            <w:tcW w:w="1911"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宋体" w:hAnsi="宋体" w:cs="仿宋_GB2312"/>
                <w:sz w:val="24"/>
                <w:szCs w:val="24"/>
              </w:rPr>
              <w:t>□是  □否</w:t>
            </w:r>
          </w:p>
        </w:tc>
      </w:tr>
      <w:tr>
        <w:tblPrEx>
          <w:tblCellMar>
            <w:top w:w="0" w:type="dxa"/>
            <w:left w:w="108" w:type="dxa"/>
            <w:bottom w:w="0" w:type="dxa"/>
            <w:right w:w="108" w:type="dxa"/>
          </w:tblCellMar>
        </w:tblPrEx>
        <w:trPr>
          <w:trHeight w:val="567" w:hRule="atLeast"/>
          <w:jc w:val="center"/>
        </w:trPr>
        <w:tc>
          <w:tcPr>
            <w:tcW w:w="687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参赛材料没有泄漏地区、学校名称</w:t>
            </w:r>
          </w:p>
        </w:tc>
        <w:tc>
          <w:tcPr>
            <w:tcW w:w="1911"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宋体" w:hAnsi="宋体" w:cs="仿宋_GB2312"/>
                <w:sz w:val="24"/>
                <w:szCs w:val="24"/>
              </w:rPr>
              <w:t>□是  □否</w:t>
            </w:r>
          </w:p>
        </w:tc>
      </w:tr>
      <w:tr>
        <w:tblPrEx>
          <w:tblCellMar>
            <w:top w:w="0" w:type="dxa"/>
            <w:left w:w="108" w:type="dxa"/>
            <w:bottom w:w="0" w:type="dxa"/>
            <w:right w:w="108" w:type="dxa"/>
          </w:tblCellMar>
        </w:tblPrEx>
        <w:trPr>
          <w:trHeight w:val="567" w:hRule="atLeast"/>
          <w:jc w:val="center"/>
        </w:trPr>
        <w:tc>
          <w:tcPr>
            <w:tcW w:w="687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保证参赛材料无知识产权异议或其他法律纠纷</w:t>
            </w:r>
          </w:p>
        </w:tc>
        <w:tc>
          <w:tcPr>
            <w:tcW w:w="1911"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宋体" w:hAnsi="宋体" w:cs="仿宋_GB2312"/>
                <w:sz w:val="24"/>
                <w:szCs w:val="24"/>
              </w:rPr>
              <w:t>□是  □否</w:t>
            </w:r>
          </w:p>
        </w:tc>
      </w:tr>
      <w:tr>
        <w:tblPrEx>
          <w:tblCellMar>
            <w:top w:w="0" w:type="dxa"/>
            <w:left w:w="108" w:type="dxa"/>
            <w:bottom w:w="0" w:type="dxa"/>
            <w:right w:w="108" w:type="dxa"/>
          </w:tblCellMar>
        </w:tblPrEx>
        <w:trPr>
          <w:trHeight w:val="567" w:hRule="atLeast"/>
          <w:jc w:val="center"/>
        </w:trPr>
        <w:tc>
          <w:tcPr>
            <w:tcW w:w="6878" w:type="dxa"/>
            <w:gridSpan w:val="3"/>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同意</w:t>
            </w:r>
            <w:r>
              <w:rPr>
                <w:rFonts w:hint="eastAsia" w:ascii="仿宋_GB2312" w:hAnsi="仿宋_GB2312" w:cs="仿宋_GB2312"/>
                <w:color w:val="000000"/>
                <w:sz w:val="24"/>
                <w:szCs w:val="24"/>
                <w:lang w:eastAsia="zh-CN"/>
              </w:rPr>
              <w:t>市教体局</w:t>
            </w:r>
            <w:r>
              <w:rPr>
                <w:rFonts w:hint="eastAsia" w:ascii="仿宋_GB2312" w:hAnsi="仿宋_GB2312" w:cs="仿宋_GB2312"/>
                <w:color w:val="000000"/>
                <w:sz w:val="24"/>
                <w:szCs w:val="24"/>
              </w:rPr>
              <w:t>、</w:t>
            </w:r>
            <w:r>
              <w:rPr>
                <w:rFonts w:hint="eastAsia" w:ascii="仿宋_GB2312" w:hAnsi="仿宋_GB2312" w:cs="仿宋_GB2312"/>
                <w:color w:val="000000"/>
                <w:sz w:val="24"/>
                <w:szCs w:val="24"/>
                <w:lang w:eastAsia="zh-CN"/>
              </w:rPr>
              <w:t>市人社局</w:t>
            </w:r>
            <w:r>
              <w:rPr>
                <w:rFonts w:hint="eastAsia" w:ascii="仿宋_GB2312" w:hAnsi="仿宋_GB2312" w:cs="仿宋_GB2312"/>
                <w:color w:val="000000"/>
                <w:sz w:val="24"/>
                <w:szCs w:val="24"/>
              </w:rPr>
              <w:t>拥有对参赛材料进行公益性共享权利</w:t>
            </w:r>
          </w:p>
        </w:tc>
        <w:tc>
          <w:tcPr>
            <w:tcW w:w="1911" w:type="dxa"/>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sz w:val="24"/>
                <w:szCs w:val="24"/>
              </w:rPr>
            </w:pPr>
            <w:r>
              <w:rPr>
                <w:rFonts w:hint="eastAsia" w:ascii="宋体" w:hAnsi="宋体" w:cs="仿宋_GB2312"/>
                <w:sz w:val="24"/>
                <w:szCs w:val="24"/>
              </w:rPr>
              <w:t>□是  □否</w:t>
            </w:r>
          </w:p>
        </w:tc>
      </w:tr>
      <w:tr>
        <w:tblPrEx>
          <w:tblCellMar>
            <w:top w:w="0" w:type="dxa"/>
            <w:left w:w="108" w:type="dxa"/>
            <w:bottom w:w="0" w:type="dxa"/>
            <w:right w:w="108" w:type="dxa"/>
          </w:tblCellMar>
        </w:tblPrEx>
        <w:trPr>
          <w:trHeight w:val="567"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专业人才培养方案网址</w:t>
            </w:r>
          </w:p>
        </w:tc>
        <w:tc>
          <w:tcPr>
            <w:tcW w:w="5051" w:type="dxa"/>
            <w:gridSpan w:val="3"/>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567" w:hRule="atLeast"/>
          <w:jc w:val="center"/>
        </w:trPr>
        <w:tc>
          <w:tcPr>
            <w:tcW w:w="3738" w:type="dxa"/>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参加市（县）、学校比赛情况</w:t>
            </w:r>
          </w:p>
        </w:tc>
        <w:tc>
          <w:tcPr>
            <w:tcW w:w="5051" w:type="dxa"/>
            <w:gridSpan w:val="3"/>
            <w:tcBorders>
              <w:top w:val="single" w:color="auto" w:sz="4" w:space="0"/>
              <w:left w:val="nil"/>
              <w:bottom w:val="single" w:color="auto" w:sz="4" w:space="0"/>
              <w:right w:val="single" w:color="auto" w:sz="4" w:space="0"/>
            </w:tcBorders>
            <w:noWrap w:val="0"/>
            <w:vAlign w:val="center"/>
          </w:tcPr>
          <w:p>
            <w:pPr>
              <w:overflowPunct w:val="0"/>
              <w:jc w:val="center"/>
              <w:rPr>
                <w:rFonts w:ascii="仿宋_GB2312" w:hAnsi="仿宋_GB2312" w:cs="仿宋_GB2312"/>
                <w:color w:val="000000"/>
                <w:sz w:val="24"/>
                <w:szCs w:val="24"/>
              </w:rPr>
            </w:pPr>
          </w:p>
        </w:tc>
      </w:tr>
      <w:tr>
        <w:tblPrEx>
          <w:tblCellMar>
            <w:top w:w="0" w:type="dxa"/>
            <w:left w:w="108" w:type="dxa"/>
            <w:bottom w:w="0" w:type="dxa"/>
            <w:right w:w="108" w:type="dxa"/>
          </w:tblCellMar>
        </w:tblPrEx>
        <w:trPr>
          <w:trHeight w:val="680" w:hRule="atLeast"/>
          <w:jc w:val="center"/>
        </w:trPr>
        <w:tc>
          <w:tcPr>
            <w:tcW w:w="373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主讲人签字</w:t>
            </w:r>
          </w:p>
        </w:tc>
        <w:tc>
          <w:tcPr>
            <w:tcW w:w="5051" w:type="dxa"/>
            <w:gridSpan w:val="3"/>
            <w:tcBorders>
              <w:top w:val="single" w:color="auto" w:sz="4" w:space="0"/>
              <w:left w:val="nil"/>
              <w:bottom w:val="single" w:color="auto" w:sz="4" w:space="0"/>
              <w:right w:val="single" w:color="auto" w:sz="4" w:space="0"/>
            </w:tcBorders>
            <w:noWrap w:val="0"/>
            <w:vAlign w:val="center"/>
          </w:tcPr>
          <w:p>
            <w:pPr>
              <w:overflowPunct w:val="0"/>
              <w:snapToGrid w:val="0"/>
              <w:rPr>
                <w:rFonts w:ascii="仿宋_GB2312" w:hAnsi="仿宋_GB2312" w:cs="仿宋_GB2312"/>
                <w:b/>
                <w:bCs/>
                <w:color w:val="000000"/>
                <w:sz w:val="24"/>
                <w:szCs w:val="24"/>
              </w:rPr>
            </w:pPr>
          </w:p>
        </w:tc>
      </w:tr>
      <w:tr>
        <w:tblPrEx>
          <w:tblCellMar>
            <w:top w:w="0" w:type="dxa"/>
            <w:left w:w="108" w:type="dxa"/>
            <w:bottom w:w="0" w:type="dxa"/>
            <w:right w:w="108" w:type="dxa"/>
          </w:tblCellMar>
        </w:tblPrEx>
        <w:trPr>
          <w:trHeight w:val="680" w:hRule="atLeast"/>
          <w:jc w:val="center"/>
        </w:trPr>
        <w:tc>
          <w:tcPr>
            <w:tcW w:w="3738"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团队所有成员师德表现</w:t>
            </w:r>
          </w:p>
        </w:tc>
        <w:tc>
          <w:tcPr>
            <w:tcW w:w="5051" w:type="dxa"/>
            <w:gridSpan w:val="3"/>
            <w:tcBorders>
              <w:top w:val="single" w:color="auto" w:sz="4" w:space="0"/>
              <w:left w:val="nil"/>
              <w:bottom w:val="single" w:color="auto" w:sz="4" w:space="0"/>
              <w:right w:val="single" w:color="auto" w:sz="4" w:space="0"/>
            </w:tcBorders>
            <w:noWrap w:val="0"/>
            <w:vAlign w:val="center"/>
          </w:tcPr>
          <w:p>
            <w:pPr>
              <w:overflowPunct w:val="0"/>
              <w:snapToGrid w:val="0"/>
              <w:rPr>
                <w:rFonts w:ascii="仿宋_GB2312" w:hAnsi="仿宋_GB2312" w:cs="仿宋_GB2312"/>
                <w:b/>
                <w:bCs/>
                <w:color w:val="000000"/>
                <w:sz w:val="24"/>
                <w:szCs w:val="24"/>
              </w:rPr>
            </w:pPr>
          </w:p>
        </w:tc>
      </w:tr>
      <w:tr>
        <w:tblPrEx>
          <w:tblCellMar>
            <w:top w:w="0" w:type="dxa"/>
            <w:left w:w="108" w:type="dxa"/>
            <w:bottom w:w="0" w:type="dxa"/>
            <w:right w:w="108" w:type="dxa"/>
          </w:tblCellMar>
        </w:tblPrEx>
        <w:trPr>
          <w:trHeight w:val="3436" w:hRule="atLeast"/>
          <w:jc w:val="center"/>
        </w:trPr>
        <w:tc>
          <w:tcPr>
            <w:tcW w:w="439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bottom"/>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（所在学校签署意见并盖章）</w:t>
            </w:r>
          </w:p>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 xml:space="preserve">       年  月   日</w:t>
            </w:r>
          </w:p>
        </w:tc>
        <w:tc>
          <w:tcPr>
            <w:tcW w:w="439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bottom"/>
          </w:tcPr>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县（市）教育局签署意见并盖章</w:t>
            </w:r>
          </w:p>
          <w:p>
            <w:pPr>
              <w:overflowPunct w:val="0"/>
              <w:jc w:val="center"/>
              <w:rPr>
                <w:rFonts w:ascii="仿宋_GB2312" w:hAnsi="仿宋_GB2312" w:cs="仿宋_GB2312"/>
                <w:color w:val="000000"/>
                <w:sz w:val="24"/>
                <w:szCs w:val="24"/>
              </w:rPr>
            </w:pPr>
            <w:r>
              <w:rPr>
                <w:rFonts w:hint="eastAsia" w:ascii="仿宋_GB2312" w:hAnsi="仿宋_GB2312" w:cs="仿宋_GB2312"/>
                <w:color w:val="000000"/>
                <w:sz w:val="24"/>
                <w:szCs w:val="24"/>
              </w:rPr>
              <w:t xml:space="preserve">      年  月   日</w:t>
            </w:r>
          </w:p>
        </w:tc>
      </w:tr>
    </w:tbl>
    <w:p>
      <w:pPr>
        <w:overflowPunct w:val="0"/>
        <w:snapToGrid w:val="0"/>
        <w:ind w:firstLine="360" w:firstLineChars="200"/>
        <w:rPr>
          <w:rFonts w:hint="eastAsia" w:ascii="仿宋_GB2312" w:hAnsi="仿宋_GB2312" w:eastAsia="宋体" w:cs="仿宋_GB2312"/>
          <w:sz w:val="18"/>
          <w:szCs w:val="18"/>
        </w:rPr>
      </w:pPr>
      <w:r>
        <w:rPr>
          <w:rFonts w:hint="eastAsia" w:ascii="仿宋_GB2312" w:hAnsi="仿宋_GB2312" w:cs="仿宋_GB2312"/>
          <w:sz w:val="18"/>
          <w:szCs w:val="18"/>
        </w:rPr>
        <w:t xml:space="preserve"> </w:t>
      </w:r>
    </w:p>
    <w:p>
      <w:pPr>
        <w:widowControl/>
        <w:jc w:val="left"/>
        <w:rPr>
          <w:rFonts w:ascii="黑体" w:hAnsi="黑体" w:eastAsia="黑体" w:cs="宋体"/>
        </w:rPr>
        <w:sectPr>
          <w:headerReference r:id="rId7" w:type="default"/>
          <w:footerReference r:id="rId8" w:type="default"/>
          <w:pgSz w:w="11906" w:h="16838"/>
          <w:pgMar w:top="1644" w:right="1588" w:bottom="2268" w:left="1644" w:header="850" w:footer="992" w:gutter="0"/>
          <w:pgNumType w:fmt="numberInDash"/>
          <w:cols w:space="720" w:num="1"/>
          <w:docGrid w:type="lines" w:linePitch="579" w:charSpace="0"/>
        </w:sectPr>
      </w:pPr>
    </w:p>
    <w:p>
      <w:pPr>
        <w:keepNext w:val="0"/>
        <w:keepLines w:val="0"/>
        <w:pageBreakBefore w:val="0"/>
        <w:widowControl w:val="0"/>
        <w:kinsoku/>
        <w:wordWrap/>
        <w:overflowPunct w:val="0"/>
        <w:topLinePunct w:val="0"/>
        <w:autoSpaceDE/>
        <w:autoSpaceDN/>
        <w:bidi w:val="0"/>
        <w:adjustRightInd/>
        <w:spacing w:line="560" w:lineRule="exact"/>
        <w:jc w:val="left"/>
        <w:textAlignment w:val="auto"/>
        <w:outlineLvl w:val="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平顶山市中等职业学校班主任能力大赛参赛汇总表</w:t>
      </w:r>
    </w:p>
    <w:p>
      <w:pPr>
        <w:keepNext w:val="0"/>
        <w:keepLines w:val="0"/>
        <w:pageBreakBefore w:val="0"/>
        <w:widowControl w:val="0"/>
        <w:kinsoku/>
        <w:wordWrap/>
        <w:overflowPunct w:val="0"/>
        <w:topLinePunct w:val="0"/>
        <w:autoSpaceDE/>
        <w:autoSpaceDN/>
        <w:bidi w:val="0"/>
        <w:adjustRightInd/>
        <w:spacing w:line="560" w:lineRule="exact"/>
        <w:jc w:val="both"/>
        <w:textAlignment w:val="auto"/>
        <w:rPr>
          <w:rFonts w:hint="eastAsia" w:ascii="方正小标宋简体"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val="0"/>
        <w:spacing w:line="560" w:lineRule="exact"/>
        <w:textAlignment w:val="auto"/>
        <w:rPr>
          <w:rFonts w:hint="eastAsia" w:ascii="仿宋_GB2312" w:hAnsi="仿宋_GB2312" w:eastAsia="宋体" w:cs="仿宋_GB2312"/>
          <w:bCs/>
          <w:sz w:val="24"/>
          <w:szCs w:val="24"/>
        </w:rPr>
      </w:pPr>
      <w:r>
        <w:rPr>
          <w:rFonts w:hint="eastAsia" w:ascii="宋体" w:hAnsi="宋体" w:cs="仿宋_GB2312"/>
          <w:bCs/>
          <w:sz w:val="24"/>
          <w:szCs w:val="24"/>
        </w:rPr>
        <w:t>（学校盖章）：</w:t>
      </w:r>
      <w:r>
        <w:rPr>
          <w:rFonts w:hint="eastAsia" w:ascii="仿宋_GB2312" w:hAnsi="仿宋_GB2312" w:cs="仿宋_GB2312"/>
          <w:bCs/>
          <w:sz w:val="18"/>
          <w:szCs w:val="18"/>
          <w:u w:val="single"/>
        </w:rPr>
        <w:t xml:space="preserve">  </w:t>
      </w:r>
      <w:r>
        <w:rPr>
          <w:rFonts w:hint="eastAsia" w:ascii="仿宋_GB2312" w:hAnsi="仿宋_GB2312" w:cs="仿宋_GB2312"/>
          <w:bCs/>
          <w:sz w:val="24"/>
          <w:szCs w:val="24"/>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88"/>
        <w:gridCol w:w="1242"/>
        <w:gridCol w:w="972"/>
        <w:gridCol w:w="1096"/>
        <w:gridCol w:w="1744"/>
        <w:gridCol w:w="444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黑体"/>
                <w:kern w:val="0"/>
                <w:sz w:val="24"/>
                <w:szCs w:val="24"/>
              </w:rPr>
            </w:pPr>
            <w:r>
              <w:rPr>
                <w:rFonts w:hint="eastAsia" w:eastAsia="黑体"/>
                <w:kern w:val="0"/>
                <w:sz w:val="24"/>
                <w:szCs w:val="24"/>
              </w:rPr>
              <w:t>团队编号</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黑体"/>
                <w:kern w:val="0"/>
                <w:sz w:val="24"/>
                <w:szCs w:val="24"/>
              </w:rPr>
            </w:pPr>
            <w:r>
              <w:rPr>
                <w:rFonts w:eastAsia="黑体"/>
                <w:kern w:val="0"/>
                <w:sz w:val="24"/>
                <w:szCs w:val="24"/>
              </w:rPr>
              <w:t>姓名</w:t>
            </w:r>
          </w:p>
        </w:tc>
        <w:tc>
          <w:tcPr>
            <w:tcW w:w="1242"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黑体"/>
                <w:kern w:val="0"/>
                <w:sz w:val="24"/>
                <w:szCs w:val="24"/>
              </w:rPr>
            </w:pPr>
            <w:r>
              <w:rPr>
                <w:rFonts w:hint="eastAsia" w:eastAsia="黑体"/>
                <w:kern w:val="0"/>
                <w:sz w:val="24"/>
                <w:szCs w:val="24"/>
              </w:rPr>
              <w:t>团队身份</w:t>
            </w: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黑体"/>
                <w:kern w:val="0"/>
                <w:sz w:val="24"/>
                <w:szCs w:val="24"/>
              </w:rPr>
            </w:pPr>
            <w:r>
              <w:rPr>
                <w:rFonts w:eastAsia="黑体"/>
                <w:kern w:val="0"/>
                <w:sz w:val="24"/>
                <w:szCs w:val="24"/>
              </w:rPr>
              <w:t>性别</w:t>
            </w: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黑体"/>
                <w:kern w:val="0"/>
                <w:sz w:val="24"/>
                <w:szCs w:val="24"/>
              </w:rPr>
            </w:pPr>
            <w:r>
              <w:rPr>
                <w:rFonts w:eastAsia="黑体"/>
                <w:kern w:val="0"/>
                <w:sz w:val="24"/>
                <w:szCs w:val="24"/>
              </w:rPr>
              <w:t>年龄</w:t>
            </w: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黑体"/>
                <w:kern w:val="0"/>
                <w:sz w:val="24"/>
                <w:szCs w:val="24"/>
              </w:rPr>
            </w:pPr>
            <w:r>
              <w:rPr>
                <w:rFonts w:eastAsia="黑体"/>
                <w:kern w:val="0"/>
                <w:sz w:val="24"/>
                <w:szCs w:val="24"/>
              </w:rPr>
              <w:t>联系电话</w:t>
            </w: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黑体"/>
                <w:kern w:val="0"/>
                <w:sz w:val="24"/>
                <w:szCs w:val="24"/>
              </w:rPr>
            </w:pPr>
            <w:r>
              <w:rPr>
                <w:rFonts w:eastAsia="黑体"/>
                <w:kern w:val="0"/>
                <w:sz w:val="24"/>
                <w:szCs w:val="24"/>
              </w:rPr>
              <w:t>学校名称</w:t>
            </w:r>
          </w:p>
          <w:p>
            <w:pPr>
              <w:overflowPunct w:val="0"/>
              <w:snapToGrid w:val="0"/>
              <w:jc w:val="center"/>
              <w:rPr>
                <w:rFonts w:ascii="Calibri" w:hAnsi="Calibri" w:eastAsia="黑体"/>
                <w:kern w:val="0"/>
                <w:sz w:val="24"/>
                <w:szCs w:val="24"/>
              </w:rPr>
            </w:pPr>
            <w:r>
              <w:rPr>
                <w:rFonts w:eastAsia="黑体"/>
                <w:kern w:val="0"/>
                <w:sz w:val="24"/>
                <w:szCs w:val="24"/>
              </w:rPr>
              <w:t>（规范全称）</w:t>
            </w:r>
          </w:p>
        </w:tc>
        <w:tc>
          <w:tcPr>
            <w:tcW w:w="1224" w:type="dxa"/>
            <w:tcBorders>
              <w:top w:val="single" w:color="auto" w:sz="4" w:space="0"/>
              <w:left w:val="nil"/>
              <w:bottom w:val="single" w:color="auto" w:sz="4" w:space="0"/>
              <w:right w:val="single" w:color="auto" w:sz="4" w:space="0"/>
            </w:tcBorders>
            <w:noWrap w:val="0"/>
            <w:vAlign w:val="center"/>
          </w:tcPr>
          <w:p>
            <w:pPr>
              <w:overflowPunct w:val="0"/>
              <w:snapToGrid w:val="0"/>
              <w:rPr>
                <w:rFonts w:ascii="Calibri" w:hAnsi="Calibri" w:eastAsia="黑体"/>
                <w:kern w:val="0"/>
                <w:sz w:val="24"/>
                <w:szCs w:val="24"/>
              </w:rPr>
            </w:pPr>
            <w:r>
              <w:rPr>
                <w:rFonts w:hint="eastAsia" w:eastAsia="黑体"/>
                <w:kern w:val="0"/>
                <w:sz w:val="24"/>
                <w:szCs w:val="24"/>
              </w:rPr>
              <w:t>班级所属专业名称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1</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1</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1</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2</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2</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2</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3</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3</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r>
              <w:rPr>
                <w:rFonts w:hint="eastAsia" w:eastAsia="方正仿宋简体" w:cs="Calibri"/>
                <w:kern w:val="0"/>
                <w:sz w:val="24"/>
                <w:szCs w:val="24"/>
              </w:rPr>
              <w:t>3</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eastAsia="方正仿宋简体" w:cs="Calibri"/>
                <w:kern w:val="0"/>
                <w:sz w:val="24"/>
                <w:szCs w:val="24"/>
                <w:lang w:val="en"/>
              </w:rPr>
            </w:pPr>
            <w:r>
              <w:rPr>
                <w:rFonts w:hint="default" w:eastAsia="方正仿宋简体" w:cs="Calibri"/>
                <w:kern w:val="0"/>
                <w:sz w:val="24"/>
                <w:szCs w:val="24"/>
                <w:lang w:val="en"/>
              </w:rPr>
              <w:t>4</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eastAsia="方正仿宋简体" w:cs="Calibri"/>
                <w:kern w:val="0"/>
                <w:sz w:val="24"/>
                <w:szCs w:val="24"/>
                <w:lang w:val="en"/>
              </w:rPr>
            </w:pPr>
            <w:r>
              <w:rPr>
                <w:rFonts w:hint="default" w:eastAsia="方正仿宋简体" w:cs="Calibri"/>
                <w:kern w:val="0"/>
                <w:sz w:val="24"/>
                <w:szCs w:val="24"/>
                <w:lang w:val="en"/>
              </w:rPr>
              <w:t>4</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hint="default" w:eastAsia="方正仿宋简体" w:cs="Calibri"/>
                <w:kern w:val="0"/>
                <w:sz w:val="24"/>
                <w:szCs w:val="24"/>
                <w:lang w:val="en"/>
              </w:rPr>
            </w:pPr>
            <w:r>
              <w:rPr>
                <w:rFonts w:hint="default" w:eastAsia="方正仿宋简体" w:cs="Calibri"/>
                <w:kern w:val="0"/>
                <w:sz w:val="24"/>
                <w:szCs w:val="24"/>
                <w:lang w:val="en"/>
              </w:rPr>
              <w:t>4</w:t>
            </w:r>
          </w:p>
        </w:tc>
        <w:tc>
          <w:tcPr>
            <w:tcW w:w="1588"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Calibri" w:hAnsi="Calibri" w:eastAsia="方正仿宋简体"/>
                <w:kern w:val="0"/>
                <w:sz w:val="24"/>
                <w:szCs w:val="24"/>
              </w:rPr>
            </w:pPr>
          </w:p>
        </w:tc>
        <w:tc>
          <w:tcPr>
            <w:tcW w:w="1242"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c>
          <w:tcPr>
            <w:tcW w:w="972"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096"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74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44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overflowPunct w:val="0"/>
              <w:snapToGrid w:val="0"/>
              <w:jc w:val="center"/>
              <w:rPr>
                <w:rFonts w:ascii="Calibri" w:hAnsi="Calibri" w:eastAsia="方正仿宋简体"/>
                <w:kern w:val="0"/>
                <w:sz w:val="24"/>
                <w:szCs w:val="24"/>
              </w:rPr>
            </w:pPr>
          </w:p>
        </w:tc>
        <w:tc>
          <w:tcPr>
            <w:tcW w:w="1224" w:type="dxa"/>
            <w:tcBorders>
              <w:top w:val="single" w:color="auto" w:sz="4" w:space="0"/>
              <w:left w:val="nil"/>
              <w:bottom w:val="single" w:color="auto" w:sz="4" w:space="0"/>
              <w:right w:val="single" w:color="auto" w:sz="4" w:space="0"/>
            </w:tcBorders>
            <w:noWrap w:val="0"/>
            <w:vAlign w:val="top"/>
          </w:tcPr>
          <w:p>
            <w:pPr>
              <w:overflowPunct w:val="0"/>
              <w:snapToGrid w:val="0"/>
              <w:jc w:val="center"/>
              <w:rPr>
                <w:rFonts w:ascii="Calibri" w:hAnsi="Calibri" w:eastAsia="方正仿宋简体"/>
                <w:kern w:val="0"/>
                <w:sz w:val="24"/>
                <w:szCs w:val="24"/>
              </w:rPr>
            </w:pPr>
          </w:p>
        </w:tc>
      </w:tr>
    </w:tbl>
    <w:p>
      <w:pPr>
        <w:overflowPunct w:val="0"/>
        <w:snapToGrid w:val="0"/>
        <w:spacing w:before="144" w:beforeLines="25"/>
        <w:rPr>
          <w:rFonts w:hint="eastAsia" w:ascii="仿宋_GB2312" w:hAnsi="Calibri"/>
          <w:sz w:val="24"/>
          <w:szCs w:val="24"/>
        </w:rPr>
      </w:pPr>
      <w:r>
        <w:rPr>
          <w:rFonts w:hint="eastAsia" w:ascii="宋体" w:hAnsi="宋体" w:cs="仿宋_GB2312"/>
          <w:sz w:val="24"/>
          <w:szCs w:val="24"/>
        </w:rPr>
        <w:t>填表人：</w:t>
      </w:r>
      <w:r>
        <w:rPr>
          <w:rFonts w:hint="eastAsia" w:ascii="仿宋_GB2312" w:hAnsi="仿宋_GB2312" w:cs="仿宋_GB2312"/>
          <w:sz w:val="24"/>
          <w:szCs w:val="24"/>
          <w:u w:val="single"/>
        </w:rPr>
        <w:t xml:space="preserve">            </w:t>
      </w:r>
      <w:r>
        <w:rPr>
          <w:rFonts w:hint="eastAsia" w:ascii="宋体" w:hAnsi="宋体" w:cs="仿宋_GB2312"/>
          <w:sz w:val="24"/>
          <w:szCs w:val="24"/>
        </w:rPr>
        <w:t>联系电话：</w:t>
      </w:r>
      <w:r>
        <w:rPr>
          <w:rFonts w:hint="eastAsia" w:ascii="仿宋_GB2312" w:hAnsi="仿宋_GB2312" w:cs="仿宋_GB2312"/>
          <w:sz w:val="24"/>
          <w:szCs w:val="24"/>
          <w:u w:val="single"/>
        </w:rPr>
        <w:t xml:space="preserve">               </w:t>
      </w:r>
      <w:r>
        <w:rPr>
          <w:rFonts w:hint="eastAsia" w:ascii="宋体" w:hAnsi="宋体" w:cs="仿宋_GB2312"/>
          <w:sz w:val="24"/>
          <w:szCs w:val="24"/>
        </w:rPr>
        <w:t>电子邮件：</w:t>
      </w:r>
      <w:r>
        <w:rPr>
          <w:rFonts w:hint="eastAsia" w:ascii="仿宋_GB2312" w:hAnsi="仿宋_GB2312" w:cs="仿宋_GB2312"/>
          <w:sz w:val="24"/>
          <w:szCs w:val="24"/>
          <w:u w:val="single"/>
        </w:rPr>
        <w:t xml:space="preserve">             </w:t>
      </w:r>
    </w:p>
    <w:p>
      <w:pPr>
        <w:overflowPunct w:val="0"/>
        <w:snapToGrid w:val="0"/>
        <w:spacing w:before="144" w:beforeLines="25"/>
        <w:rPr>
          <w:rFonts w:ascii="黑体" w:hAnsi="黑体" w:eastAsia="黑体" w:cs="宋体"/>
        </w:rPr>
        <w:sectPr>
          <w:pgSz w:w="16838" w:h="11906" w:orient="landscape"/>
          <w:pgMar w:top="1644" w:right="2268" w:bottom="1588" w:left="1644" w:header="850" w:footer="992" w:gutter="0"/>
          <w:pgNumType w:fmt="numberInDash"/>
          <w:cols w:space="720" w:num="1"/>
          <w:docGrid w:type="lines" w:linePitch="579" w:charSpace="0"/>
        </w:sectPr>
      </w:pPr>
      <w:r>
        <w:rPr>
          <w:rFonts w:hint="eastAsia" w:ascii="宋体" w:hAnsi="宋体" w:cs="仿宋_GB2312"/>
          <w:sz w:val="24"/>
          <w:szCs w:val="24"/>
        </w:rPr>
        <w:t>备注：同一团队成员使用同一团队编号，团队身份一列填写“主讲人”或“成员”。</w:t>
      </w:r>
    </w:p>
    <w:p>
      <w:pPr>
        <w:overflowPunct w:val="0"/>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7</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平顶山市中等职业学校班主任能力大赛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10"/>
          <w:sz w:val="44"/>
          <w:szCs w:val="44"/>
          <w:lang w:eastAsia="zh-CN"/>
        </w:rPr>
      </w:pPr>
      <w:r>
        <w:rPr>
          <w:rFonts w:hint="eastAsia" w:ascii="方正小标宋_GBK" w:hAnsi="方正小标宋_GBK" w:eastAsia="方正小标宋_GBK" w:cs="方正小标宋_GBK"/>
          <w:spacing w:val="-10"/>
          <w:sz w:val="44"/>
          <w:szCs w:val="44"/>
          <w:lang w:eastAsia="zh-CN"/>
        </w:rPr>
        <w:t>评分指标</w:t>
      </w:r>
    </w:p>
    <w:p>
      <w:pPr>
        <w:overflowPunct w:val="0"/>
        <w:snapToGrid w:val="0"/>
        <w:jc w:val="center"/>
        <w:rPr>
          <w:rFonts w:hint="eastAsia" w:ascii="方正小标宋简体"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黑体" w:hAnsi="黑体" w:eastAsia="黑体"/>
                <w:sz w:val="24"/>
                <w:szCs w:val="24"/>
              </w:rPr>
            </w:pPr>
            <w:r>
              <w:rPr>
                <w:rFonts w:hint="eastAsia" w:ascii="黑体" w:hAnsi="黑体" w:eastAsia="黑体"/>
                <w:sz w:val="24"/>
                <w:szCs w:val="24"/>
              </w:rPr>
              <w:t>评价</w:t>
            </w:r>
          </w:p>
          <w:p>
            <w:pPr>
              <w:overflowPunct w:val="0"/>
              <w:snapToGrid w:val="0"/>
              <w:jc w:val="center"/>
              <w:rPr>
                <w:rFonts w:ascii="黑体" w:hAnsi="黑体" w:eastAsia="黑体"/>
                <w:sz w:val="24"/>
                <w:szCs w:val="24"/>
              </w:rPr>
            </w:pPr>
            <w:r>
              <w:rPr>
                <w:rFonts w:hint="eastAsia" w:ascii="黑体" w:hAnsi="黑体" w:eastAsia="黑体"/>
                <w:sz w:val="24"/>
                <w:szCs w:val="24"/>
              </w:rPr>
              <w:t>指标</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黑体" w:hAnsi="黑体" w:eastAsia="黑体"/>
                <w:sz w:val="24"/>
                <w:szCs w:val="24"/>
              </w:rPr>
            </w:pPr>
            <w:r>
              <w:rPr>
                <w:rFonts w:hint="eastAsia" w:ascii="黑体" w:hAnsi="黑体" w:eastAsia="黑体"/>
                <w:sz w:val="24"/>
                <w:szCs w:val="24"/>
              </w:rPr>
              <w:t>分</w:t>
            </w:r>
          </w:p>
          <w:p>
            <w:pPr>
              <w:overflowPunct w:val="0"/>
              <w:snapToGrid w:val="0"/>
              <w:jc w:val="center"/>
              <w:rPr>
                <w:rFonts w:ascii="黑体" w:hAnsi="黑体" w:eastAsia="黑体"/>
                <w:sz w:val="24"/>
                <w:szCs w:val="24"/>
              </w:rPr>
            </w:pPr>
            <w:r>
              <w:rPr>
                <w:rFonts w:hint="eastAsia" w:ascii="黑体" w:hAnsi="黑体" w:eastAsia="黑体"/>
                <w:sz w:val="24"/>
                <w:szCs w:val="24"/>
              </w:rPr>
              <w:t>值</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黑体" w:hAnsi="黑体" w:eastAsia="黑体"/>
                <w:sz w:val="24"/>
                <w:szCs w:val="24"/>
              </w:rPr>
            </w:pPr>
            <w:r>
              <w:rPr>
                <w:rFonts w:hint="eastAsia" w:ascii="黑体" w:hAnsi="黑体" w:eastAsia="黑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1"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班情</w:t>
            </w:r>
          </w:p>
          <w:p>
            <w:pPr>
              <w:overflowPunct w:val="0"/>
              <w:autoSpaceDE w:val="0"/>
              <w:autoSpaceDN w:val="0"/>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与</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目标</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ind w:left="250" w:hanging="249" w:hangingChars="100"/>
              <w:rPr>
                <w:rFonts w:ascii="仿宋_GB2312" w:hAnsi="仿宋_GB2312" w:cs="仿宋_GB2312"/>
                <w:sz w:val="24"/>
                <w:szCs w:val="24"/>
              </w:rPr>
            </w:pPr>
            <w:r>
              <w:rPr>
                <w:rFonts w:hint="eastAsia" w:ascii="仿宋_GB2312" w:hAnsi="仿宋_GB2312" w:cs="仿宋_GB2312"/>
                <w:sz w:val="24"/>
                <w:szCs w:val="24"/>
              </w:rPr>
              <w:t>1.</w:t>
            </w:r>
            <w:r>
              <w:rPr>
                <w:rFonts w:hint="eastAsia" w:ascii="宋体" w:hAnsi="宋体" w:cs="仿宋_GB2312"/>
                <w:sz w:val="24"/>
                <w:szCs w:val="24"/>
              </w:rPr>
              <w:t>对学生个体、班级人员组成结构等情况和班级所属专业的人才培养目标、课程体系、有关行业岗位要求实际等掌握清楚，学生成长变化跟踪及时。</w:t>
            </w:r>
          </w:p>
          <w:p>
            <w:pPr>
              <w:overflowPunct w:val="0"/>
              <w:snapToGrid w:val="0"/>
              <w:ind w:left="250" w:hanging="249" w:hangingChars="100"/>
              <w:rPr>
                <w:rFonts w:hint="eastAsia" w:ascii="仿宋_GB2312" w:hAnsi="仿宋_GB2312" w:cs="仿宋_GB2312"/>
                <w:sz w:val="24"/>
                <w:szCs w:val="24"/>
              </w:rPr>
            </w:pPr>
            <w:r>
              <w:rPr>
                <w:rFonts w:hint="eastAsia" w:ascii="仿宋_GB2312" w:hAnsi="仿宋_GB2312" w:cs="仿宋_GB2312"/>
                <w:sz w:val="24"/>
                <w:szCs w:val="24"/>
              </w:rPr>
              <w:t>2.</w:t>
            </w:r>
            <w:r>
              <w:rPr>
                <w:rFonts w:hint="eastAsia" w:ascii="宋体" w:hAnsi="宋体" w:cs="仿宋_GB2312"/>
                <w:sz w:val="24"/>
                <w:szCs w:val="24"/>
              </w:rPr>
              <w:t>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overflowPunct w:val="0"/>
              <w:snapToGrid w:val="0"/>
              <w:ind w:left="250" w:hanging="249" w:hangingChars="100"/>
              <w:rPr>
                <w:rFonts w:hint="eastAsia" w:ascii="仿宋_GB2312" w:hAnsi="仿宋_GB2312" w:cs="仿宋_GB2312"/>
                <w:sz w:val="24"/>
                <w:szCs w:val="24"/>
              </w:rPr>
            </w:pPr>
            <w:r>
              <w:rPr>
                <w:rFonts w:hint="eastAsia" w:ascii="仿宋_GB2312" w:hAnsi="仿宋_GB2312" w:cs="仿宋_GB2312"/>
                <w:sz w:val="24"/>
                <w:szCs w:val="24"/>
              </w:rPr>
              <w:t>3.</w:t>
            </w:r>
            <w:r>
              <w:rPr>
                <w:rFonts w:hint="eastAsia" w:ascii="宋体" w:hAnsi="宋体" w:cs="仿宋_GB2312"/>
                <w:sz w:val="24"/>
                <w:szCs w:val="24"/>
              </w:rPr>
              <w:t>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overflowPunct w:val="0"/>
              <w:snapToGrid w:val="0"/>
              <w:ind w:left="250" w:hanging="249" w:hangingChars="100"/>
              <w:rPr>
                <w:rFonts w:ascii="仿宋_GB2312" w:hAnsi="仿宋_GB2312" w:cs="仿宋_GB2312"/>
                <w:sz w:val="24"/>
                <w:szCs w:val="24"/>
              </w:rPr>
            </w:pPr>
            <w:r>
              <w:rPr>
                <w:rFonts w:hint="eastAsia" w:ascii="仿宋_GB2312" w:hAnsi="仿宋_GB2312" w:cs="仿宋_GB2312"/>
                <w:sz w:val="24"/>
                <w:szCs w:val="24"/>
              </w:rPr>
              <w:t>4.</w:t>
            </w:r>
            <w:r>
              <w:rPr>
                <w:rFonts w:hint="eastAsia" w:ascii="宋体" w:hAnsi="宋体" w:cs="仿宋_GB2312"/>
                <w:sz w:val="24"/>
                <w:szCs w:val="24"/>
              </w:rPr>
              <w:t>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autoSpaceDE w:val="0"/>
              <w:autoSpaceDN w:val="0"/>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内容</w:t>
            </w:r>
          </w:p>
          <w:p>
            <w:pPr>
              <w:overflowPunct w:val="0"/>
              <w:autoSpaceDE w:val="0"/>
              <w:autoSpaceDN w:val="0"/>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与</w:t>
            </w:r>
          </w:p>
          <w:p>
            <w:pPr>
              <w:overflowPunct w:val="0"/>
              <w:autoSpaceDE w:val="0"/>
              <w:autoSpaceDN w:val="0"/>
              <w:snapToGrid w:val="0"/>
              <w:jc w:val="center"/>
              <w:rPr>
                <w:rFonts w:ascii="仿宋_GB2312" w:hAnsi="仿宋_GB2312" w:cs="仿宋_GB2312"/>
                <w:kern w:val="0"/>
                <w:sz w:val="24"/>
                <w:szCs w:val="24"/>
              </w:rPr>
            </w:pPr>
            <w:r>
              <w:rPr>
                <w:rFonts w:hint="eastAsia" w:ascii="仿宋_GB2312" w:hAnsi="仿宋_GB2312" w:cs="仿宋_GB2312"/>
                <w:kern w:val="0"/>
                <w:sz w:val="24"/>
                <w:szCs w:val="24"/>
              </w:rPr>
              <w:t>策略</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20</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rPr>
                <w:rFonts w:ascii="仿宋_GB2312" w:hAnsi="仿宋_GB2312" w:cs="仿宋_GB2312"/>
                <w:sz w:val="24"/>
                <w:szCs w:val="24"/>
              </w:rPr>
            </w:pPr>
            <w:r>
              <w:rPr>
                <w:rFonts w:hint="eastAsia" w:ascii="仿宋_GB2312" w:hAnsi="仿宋_GB2312" w:cs="仿宋_GB2312"/>
                <w:sz w:val="24"/>
                <w:szCs w:val="24"/>
              </w:rPr>
              <w:t>1.</w:t>
            </w:r>
            <w:r>
              <w:rPr>
                <w:rFonts w:hint="eastAsia" w:ascii="宋体" w:hAnsi="宋体" w:cs="仿宋_GB2312"/>
                <w:sz w:val="24"/>
                <w:szCs w:val="24"/>
              </w:rPr>
              <w:t>班级建设内容、途径和方法有效支撑班级建设目标的实现。</w:t>
            </w:r>
          </w:p>
          <w:p>
            <w:pPr>
              <w:overflowPunct w:val="0"/>
              <w:snapToGrid w:val="0"/>
              <w:ind w:left="250" w:hanging="249" w:hangingChars="100"/>
              <w:rPr>
                <w:rFonts w:hint="eastAsia" w:ascii="仿宋_GB2312" w:hAnsi="仿宋_GB2312" w:cs="仿宋_GB2312"/>
                <w:sz w:val="24"/>
                <w:szCs w:val="24"/>
              </w:rPr>
            </w:pPr>
            <w:r>
              <w:rPr>
                <w:rFonts w:hint="eastAsia" w:ascii="仿宋_GB2312" w:hAnsi="仿宋_GB2312" w:cs="仿宋_GB2312"/>
                <w:sz w:val="24"/>
                <w:szCs w:val="24"/>
              </w:rPr>
              <w:t>2.</w:t>
            </w:r>
            <w:r>
              <w:rPr>
                <w:rFonts w:hint="eastAsia" w:ascii="宋体" w:hAnsi="宋体" w:cs="仿宋_GB2312"/>
                <w:sz w:val="24"/>
                <w:szCs w:val="24"/>
              </w:rPr>
              <w:t>班级建设内容突出习近平新时代中国特色社会主义思想教育，党史、新中国史、改革开放史、社会主义发展史教育和爱国主义、集体主义、社会主义教育，深入开展劳动教育、中华优秀传统文化传承与创新，加强安全教育、法治教育、卫生健康教育和心理健康教育等。</w:t>
            </w:r>
          </w:p>
          <w:p>
            <w:pPr>
              <w:overflowPunct w:val="0"/>
              <w:snapToGrid w:val="0"/>
              <w:ind w:left="250" w:hanging="249" w:hangingChars="100"/>
              <w:rPr>
                <w:rFonts w:hint="eastAsia" w:ascii="仿宋_GB2312" w:hAnsi="仿宋_GB2312" w:cs="仿宋_GB2312"/>
                <w:sz w:val="24"/>
                <w:szCs w:val="24"/>
              </w:rPr>
            </w:pPr>
            <w:r>
              <w:rPr>
                <w:rFonts w:hint="eastAsia" w:ascii="仿宋_GB2312" w:hAnsi="仿宋_GB2312" w:cs="仿宋_GB2312"/>
                <w:sz w:val="24"/>
                <w:szCs w:val="24"/>
              </w:rPr>
              <w:t>3.</w:t>
            </w:r>
            <w:r>
              <w:rPr>
                <w:rFonts w:hint="eastAsia" w:ascii="宋体" w:hAnsi="宋体" w:cs="仿宋_GB2312"/>
                <w:sz w:val="24"/>
                <w:szCs w:val="24"/>
              </w:rPr>
              <w:t>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overflowPunct w:val="0"/>
              <w:snapToGrid w:val="0"/>
              <w:ind w:left="250" w:hanging="249" w:hangingChars="100"/>
              <w:rPr>
                <w:rFonts w:ascii="仿宋_GB2312" w:hAnsi="仿宋_GB2312" w:cs="仿宋_GB2312"/>
                <w:sz w:val="24"/>
                <w:szCs w:val="24"/>
              </w:rPr>
            </w:pPr>
            <w:r>
              <w:rPr>
                <w:rFonts w:hint="eastAsia" w:ascii="仿宋_GB2312" w:hAnsi="仿宋_GB2312" w:cs="仿宋_GB2312"/>
                <w:sz w:val="24"/>
                <w:szCs w:val="24"/>
              </w:rPr>
              <w:t>4.</w:t>
            </w:r>
            <w:r>
              <w:rPr>
                <w:rFonts w:hint="eastAsia" w:ascii="宋体" w:hAnsi="宋体" w:cs="仿宋_GB2312"/>
                <w:sz w:val="24"/>
                <w:szCs w:val="24"/>
              </w:rPr>
              <w:t>突出学生主体、教师主导，坚持以心育心、以德育德、以人格育人格，工作方式易于被学生接受和理解。注重调动、整合运用各方面资源、力量，形成育人合力。</w:t>
            </w:r>
          </w:p>
        </w:tc>
      </w:tr>
    </w:tbl>
    <w:p>
      <w:pPr>
        <w:overflowPunct w:val="0"/>
        <w:snapToGrid w:val="0"/>
        <w:jc w:val="center"/>
        <w:rPr>
          <w:rFonts w:ascii="仿宋_GB2312" w:hAnsi="仿宋_GB2312" w:cs="仿宋_GB2312"/>
          <w:sz w:val="24"/>
          <w:szCs w:val="24"/>
        </w:rPr>
        <w:sectPr>
          <w:footerReference r:id="rId9" w:type="even"/>
          <w:pgSz w:w="11906" w:h="16838"/>
          <w:pgMar w:top="1644" w:right="1588" w:bottom="2268" w:left="1644" w:header="0" w:footer="1814" w:gutter="0"/>
          <w:pgNumType w:fmt="numberInDash"/>
          <w:cols w:space="720" w:num="1"/>
          <w:docGrid w:type="linesAndChars" w:linePitch="587" w:charSpace="2004"/>
        </w:sect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实施</w:t>
            </w:r>
          </w:p>
          <w:p>
            <w:pPr>
              <w:overflowPunct w:val="0"/>
              <w:snapToGrid w:val="0"/>
              <w:jc w:val="center"/>
              <w:rPr>
                <w:rFonts w:hint="eastAsia" w:ascii="仿宋_GB2312" w:hAnsi="仿宋_GB2312" w:cs="仿宋_GB2312"/>
                <w:sz w:val="24"/>
                <w:szCs w:val="24"/>
              </w:rPr>
            </w:pPr>
            <w:r>
              <w:rPr>
                <w:rFonts w:hint="eastAsia" w:ascii="仿宋_GB2312" w:hAnsi="仿宋_GB2312" w:cs="仿宋_GB2312"/>
                <w:sz w:val="24"/>
                <w:szCs w:val="24"/>
              </w:rPr>
              <w:t>与</w:t>
            </w:r>
          </w:p>
          <w:p>
            <w:pPr>
              <w:overflowPunct w:val="0"/>
              <w:autoSpaceDE w:val="0"/>
              <w:autoSpaceDN w:val="0"/>
              <w:snapToGrid w:val="0"/>
              <w:jc w:val="center"/>
              <w:rPr>
                <w:rFonts w:ascii="仿宋_GB2312" w:hAnsi="仿宋_GB2312" w:cs="仿宋_GB2312"/>
                <w:kern w:val="0"/>
                <w:sz w:val="24"/>
                <w:szCs w:val="24"/>
              </w:rPr>
            </w:pPr>
            <w:r>
              <w:rPr>
                <w:rFonts w:hint="eastAsia" w:ascii="仿宋_GB2312" w:hAnsi="仿宋_GB2312" w:cs="仿宋_GB2312"/>
                <w:sz w:val="24"/>
                <w:szCs w:val="24"/>
              </w:rPr>
              <w:t>成效</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35</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1.</w:t>
            </w:r>
            <w:r>
              <w:rPr>
                <w:rFonts w:hint="eastAsia" w:ascii="宋体" w:hAnsi="宋体" w:cs="仿宋_GB2312"/>
                <w:sz w:val="24"/>
                <w:szCs w:val="24"/>
              </w:rPr>
              <w:t>体现先进教育思想和育人理念，遵循教育教学规律、思想政治工作规律和技术技能人才成长规律，符合中等职业学校办学实际和中职学生思想、行为特点，因材施教。</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2.</w:t>
            </w:r>
            <w:r>
              <w:rPr>
                <w:rFonts w:hint="eastAsia" w:ascii="宋体" w:hAnsi="宋体" w:cs="仿宋_GB2312"/>
                <w:sz w:val="24"/>
                <w:szCs w:val="24"/>
              </w:rPr>
              <w:t>关注班级工作的整体推进和对学生个体的关心关爱，思想工作深入到位，班级管理规范有序，班级活动覆盖面广、参与度高，学生积极参与“文明风采”活动等，班级学生发展兴趣爱好、参加竞赛竞技、参与志愿服务、展示才艺特长的成效显著，展现积极向上的精神风貌。</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3.</w:t>
            </w:r>
            <w:r>
              <w:rPr>
                <w:rFonts w:hint="eastAsia" w:ascii="宋体" w:hAnsi="宋体" w:cs="仿宋_GB2312"/>
                <w:sz w:val="24"/>
                <w:szCs w:val="24"/>
              </w:rPr>
              <w:t>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用“两微一端”等新技术、新载体提高育人实效。</w:t>
            </w:r>
          </w:p>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4.</w:t>
            </w:r>
            <w:r>
              <w:rPr>
                <w:rFonts w:hint="eastAsia" w:ascii="宋体" w:hAnsi="宋体" w:cs="仿宋_GB2312"/>
                <w:sz w:val="24"/>
                <w:szCs w:val="24"/>
              </w:rPr>
              <w:t>按照班级建设方案扎实推进建班育人，关注育人全过程的信息采集，跟踪学生成长发展情况并细致分析，能够对照班级建设目标和达成进度，及时调整班级管理策略，积极反思改进。班级建设目标有效达成。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3"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素养</w:t>
            </w:r>
          </w:p>
          <w:p>
            <w:pPr>
              <w:overflowPunct w:val="0"/>
              <w:snapToGrid w:val="0"/>
              <w:jc w:val="center"/>
              <w:rPr>
                <w:rFonts w:hint="eastAsia" w:ascii="仿宋_GB2312" w:hAnsi="仿宋_GB2312" w:cs="仿宋_GB2312"/>
                <w:sz w:val="24"/>
                <w:szCs w:val="24"/>
              </w:rPr>
            </w:pPr>
            <w:r>
              <w:rPr>
                <w:rFonts w:hint="eastAsia" w:ascii="仿宋_GB2312" w:hAnsi="仿宋_GB2312" w:cs="仿宋_GB2312"/>
                <w:sz w:val="24"/>
                <w:szCs w:val="24"/>
              </w:rPr>
              <w:t>与</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表现</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1.</w:t>
            </w:r>
            <w:r>
              <w:rPr>
                <w:rFonts w:hint="eastAsia" w:ascii="宋体" w:hAnsi="宋体" w:cs="仿宋_GB2312"/>
                <w:sz w:val="24"/>
                <w:szCs w:val="24"/>
              </w:rPr>
              <w:t>自觉践行教师职业行为十项准则，充分展现新时代中等职业学校班主任良好的师德师风、育人能力，做以德立身、以德立学、以德施教、以德育德的楷模。</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2.</w:t>
            </w:r>
            <w:r>
              <w:rPr>
                <w:rFonts w:hint="eastAsia" w:ascii="宋体" w:hAnsi="宋体" w:cs="仿宋_GB2312"/>
                <w:sz w:val="24"/>
                <w:szCs w:val="24"/>
              </w:rPr>
              <w:t>教师育人态度认真、严谨规范、表述清晰、组织协调有条不紊、亲和力强，注重针对学生的个体差异因材施教。</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3.</w:t>
            </w:r>
            <w:r>
              <w:rPr>
                <w:rFonts w:hint="eastAsia" w:ascii="宋体" w:hAnsi="宋体" w:cs="仿宋_GB2312"/>
                <w:sz w:val="24"/>
                <w:szCs w:val="24"/>
              </w:rPr>
              <w:t>班级建设方案实施情况总结客观真实反映、深刻反思建班育人的成效与不足，提出班级建设的改进设想。</w:t>
            </w:r>
          </w:p>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4.</w:t>
            </w:r>
            <w:r>
              <w:rPr>
                <w:rFonts w:hint="eastAsia" w:ascii="宋体" w:hAnsi="宋体" w:cs="仿宋_GB2312"/>
                <w:sz w:val="24"/>
                <w:szCs w:val="24"/>
              </w:rPr>
              <w:t>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特色</w:t>
            </w:r>
          </w:p>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创新</w:t>
            </w:r>
          </w:p>
        </w:tc>
        <w:tc>
          <w:tcPr>
            <w:tcW w:w="580" w:type="dxa"/>
            <w:tcBorders>
              <w:top w:val="single" w:color="auto" w:sz="4" w:space="0"/>
              <w:left w:val="nil"/>
              <w:bottom w:val="single" w:color="auto" w:sz="4" w:space="0"/>
              <w:right w:val="single" w:color="auto" w:sz="4" w:space="0"/>
            </w:tcBorders>
            <w:noWrap w:val="0"/>
            <w:vAlign w:val="center"/>
          </w:tcPr>
          <w:p>
            <w:pPr>
              <w:overflowPunct w:val="0"/>
              <w:snapToGrid w:val="0"/>
              <w:jc w:val="center"/>
              <w:rPr>
                <w:rFonts w:ascii="仿宋_GB2312" w:hAnsi="仿宋_GB2312" w:cs="仿宋_GB2312"/>
                <w:sz w:val="24"/>
                <w:szCs w:val="24"/>
              </w:rPr>
            </w:pPr>
            <w:r>
              <w:rPr>
                <w:rFonts w:hint="eastAsia" w:ascii="仿宋_GB2312" w:hAnsi="仿宋_GB2312" w:cs="仿宋_GB2312"/>
                <w:sz w:val="24"/>
                <w:szCs w:val="24"/>
              </w:rPr>
              <w:t>15</w:t>
            </w:r>
          </w:p>
        </w:tc>
        <w:tc>
          <w:tcPr>
            <w:tcW w:w="7453" w:type="dxa"/>
            <w:tcBorders>
              <w:top w:val="single" w:color="auto" w:sz="4" w:space="0"/>
              <w:left w:val="nil"/>
              <w:bottom w:val="single" w:color="auto" w:sz="4" w:space="0"/>
              <w:right w:val="single" w:color="auto" w:sz="4" w:space="0"/>
            </w:tcBorders>
            <w:noWrap w:val="0"/>
            <w:vAlign w:val="center"/>
          </w:tcPr>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1.</w:t>
            </w:r>
            <w:r>
              <w:rPr>
                <w:rFonts w:hint="eastAsia" w:ascii="宋体" w:hAnsi="宋体" w:cs="仿宋_GB2312"/>
                <w:sz w:val="24"/>
                <w:szCs w:val="24"/>
              </w:rPr>
              <w:t>能够引导学生树立正确的理想信念、学会正确的思维方法、培育正确的劳动观念、良好的职业素养，增强学生职业荣誉感。</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2.</w:t>
            </w:r>
            <w:r>
              <w:rPr>
                <w:rFonts w:hint="eastAsia" w:ascii="宋体" w:hAnsi="宋体" w:cs="仿宋_GB2312"/>
                <w:sz w:val="24"/>
                <w:szCs w:val="24"/>
              </w:rPr>
              <w:t>能够创新育人模式和方法，给学生深刻、美好的成长体验和更多的获得感。</w:t>
            </w:r>
          </w:p>
          <w:p>
            <w:pPr>
              <w:overflowPunct w:val="0"/>
              <w:snapToGrid w:val="0"/>
              <w:ind w:left="250" w:hanging="240" w:hangingChars="100"/>
              <w:rPr>
                <w:rFonts w:hint="eastAsia" w:ascii="仿宋_GB2312" w:hAnsi="仿宋_GB2312" w:cs="仿宋_GB2312"/>
                <w:sz w:val="24"/>
                <w:szCs w:val="24"/>
              </w:rPr>
            </w:pPr>
            <w:r>
              <w:rPr>
                <w:rFonts w:hint="eastAsia" w:ascii="仿宋_GB2312" w:hAnsi="仿宋_GB2312" w:cs="仿宋_GB2312"/>
                <w:sz w:val="24"/>
                <w:szCs w:val="24"/>
              </w:rPr>
              <w:t>3.</w:t>
            </w:r>
            <w:r>
              <w:rPr>
                <w:rFonts w:hint="eastAsia" w:ascii="宋体" w:hAnsi="宋体" w:cs="仿宋_GB2312"/>
                <w:sz w:val="24"/>
                <w:szCs w:val="24"/>
              </w:rPr>
              <w:t>能够与时俱进地提高信息技术应用能力，创新实施网络育人，推进班级建设，注重提升对立德树人工作的研究探索能力。</w:t>
            </w:r>
          </w:p>
          <w:p>
            <w:pPr>
              <w:overflowPunct w:val="0"/>
              <w:snapToGrid w:val="0"/>
              <w:ind w:left="250" w:hanging="240" w:hangingChars="100"/>
              <w:rPr>
                <w:rFonts w:ascii="仿宋_GB2312" w:hAnsi="仿宋_GB2312" w:cs="仿宋_GB2312"/>
                <w:sz w:val="24"/>
                <w:szCs w:val="24"/>
              </w:rPr>
            </w:pPr>
            <w:r>
              <w:rPr>
                <w:rFonts w:hint="eastAsia" w:ascii="仿宋_GB2312" w:hAnsi="仿宋_GB2312" w:cs="仿宋_GB2312"/>
                <w:sz w:val="24"/>
                <w:szCs w:val="24"/>
              </w:rPr>
              <w:t>4.</w:t>
            </w:r>
            <w:r>
              <w:rPr>
                <w:rFonts w:hint="eastAsia" w:ascii="宋体" w:hAnsi="宋体" w:cs="仿宋_GB2312"/>
                <w:sz w:val="24"/>
                <w:szCs w:val="24"/>
              </w:rPr>
              <w:t>建班育人模式和方法具有较高借鉴和推广价值，特别是妥善应对罕见突发事件，做好特殊条件下的班级管理、沟通联络、学生关怀。</w:t>
            </w:r>
          </w:p>
        </w:tc>
      </w:tr>
    </w:tbl>
    <w:p>
      <w:pPr>
        <w:rPr>
          <w:sz w:val="10"/>
          <w:szCs w:val="10"/>
        </w:rPr>
        <w:sectPr>
          <w:headerReference r:id="rId10" w:type="default"/>
          <w:pgSz w:w="11906" w:h="16838"/>
          <w:pgMar w:top="2098" w:right="1474" w:bottom="1984" w:left="1587" w:header="851" w:footer="992" w:gutter="0"/>
          <w:pgNumType w:fmt="numberInDash"/>
          <w:cols w:space="720" w:num="1"/>
          <w:docGrid w:type="lines" w:linePitch="312" w:charSpace="0"/>
        </w:sectPr>
      </w:pPr>
    </w:p>
    <w:tbl>
      <w:tblPr>
        <w:tblStyle w:val="6"/>
        <w:tblpPr w:leftFromText="180" w:rightFromText="180" w:vertAnchor="text" w:horzAnchor="page" w:tblpX="1554" w:tblpY="121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noWrap w:val="0"/>
            <w:vAlign w:val="top"/>
          </w:tcPr>
          <w:p>
            <w:pPr>
              <w:adjustRightInd w:val="0"/>
              <w:snapToGrid w:val="0"/>
              <w:spacing w:line="580" w:lineRule="atLeast"/>
              <w:ind w:firstLine="140" w:firstLineChars="50"/>
              <w:rPr>
                <w:rFonts w:hint="eastAsia" w:ascii="仿宋_GB2312" w:eastAsia="仿宋_GB2312"/>
                <w:sz w:val="28"/>
                <w:szCs w:val="28"/>
              </w:rPr>
            </w:pPr>
            <w:r>
              <w:rPr>
                <w:rFonts w:hint="eastAsia" w:ascii="仿宋_GB2312" w:eastAsia="仿宋_GB2312"/>
                <w:sz w:val="28"/>
                <w:szCs w:val="28"/>
              </w:rPr>
              <w:t>平顶山市教育</w:t>
            </w:r>
            <w:r>
              <w:rPr>
                <w:rFonts w:hint="eastAsia" w:ascii="仿宋_GB2312" w:eastAsia="仿宋_GB2312"/>
                <w:sz w:val="28"/>
                <w:szCs w:val="28"/>
                <w:lang w:eastAsia="zh-CN"/>
              </w:rPr>
              <w:t>体育</w:t>
            </w:r>
            <w:r>
              <w:rPr>
                <w:rFonts w:hint="eastAsia" w:ascii="仿宋_GB2312" w:eastAsia="仿宋_GB2312"/>
                <w:sz w:val="28"/>
                <w:szCs w:val="28"/>
              </w:rPr>
              <w:t>局办公室                  20</w:t>
            </w:r>
            <w:r>
              <w:rPr>
                <w:rFonts w:hint="eastAsia" w:ascii="仿宋_GB2312"/>
                <w:sz w:val="28"/>
                <w:szCs w:val="28"/>
                <w:lang w:val="en-US" w:eastAsia="zh-CN"/>
              </w:rPr>
              <w:t>24</w:t>
            </w:r>
            <w:r>
              <w:rPr>
                <w:rFonts w:hint="eastAsia" w:ascii="仿宋_GB2312" w:eastAsia="仿宋_GB2312"/>
                <w:sz w:val="28"/>
                <w:szCs w:val="28"/>
              </w:rPr>
              <w:t>年</w:t>
            </w:r>
            <w:r>
              <w:rPr>
                <w:rFonts w:hint="eastAsia" w:ascii="仿宋_GB2312"/>
                <w:sz w:val="28"/>
                <w:szCs w:val="28"/>
                <w:lang w:val="en-US" w:eastAsia="zh-CN"/>
              </w:rPr>
              <w:t>4</w:t>
            </w:r>
            <w:r>
              <w:rPr>
                <w:rFonts w:hint="eastAsia" w:ascii="仿宋_GB2312" w:eastAsia="仿宋_GB2312"/>
                <w:sz w:val="28"/>
                <w:szCs w:val="28"/>
              </w:rPr>
              <w:t>月24日印发</w:t>
            </w:r>
          </w:p>
        </w:tc>
      </w:tr>
    </w:tbl>
    <w:p>
      <w:pPr>
        <w:rPr>
          <w:sz w:val="10"/>
          <w:szCs w:val="10"/>
          <w:lang w:val="en-US" w:eastAsia="zh-CN"/>
        </w:rPr>
      </w:pPr>
    </w:p>
    <w:p/>
    <w:sectPr>
      <w:footerReference r:id="rId11"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2MzMDc3MWE5ZmQwODE0YzVlMWFiNjJjNWIxMDMifQ=="/>
  </w:docVars>
  <w:rsids>
    <w:rsidRoot w:val="58AA794A"/>
    <w:rsid w:val="58AA7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36" w:beforeLines="0"/>
      <w:ind w:left="108"/>
    </w:pPr>
    <w:rPr>
      <w:rFonts w:ascii="仿宋_GB2312" w:hAnsi="仿宋_GB2312" w:eastAsia="仿宋_GB2312"/>
      <w:sz w:val="32"/>
      <w:szCs w:val="32"/>
    </w:rPr>
  </w:style>
  <w:style w:type="paragraph" w:styleId="3">
    <w:name w:val="Plain Text"/>
    <w:basedOn w:val="1"/>
    <w:qFormat/>
    <w:uiPriority w:val="0"/>
    <w:rPr>
      <w:rFonts w:ascii="仿宋_GB2312" w:hAnsi="Courier New" w:eastAsia="仿宋_GB2312" w:cs="Courier New"/>
      <w:sz w:val="30"/>
      <w:szCs w:val="3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2024-04-30T00:22:00Z</dcterms:created>
  <dc:creator>徐晓旭</dc:creator>
  <cp:lastModifiedBy>徐晓旭</cp:lastModifiedBy>
  <dcterms:modified xsi:type="dcterms:W3CDTF">2024-04-30T00:22:51Z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E9C06F16094A4B9A97F4D5DD503A0AF3_11</vt:lpwstr>
  </property>
</Properties>
</file>