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val="0"/>
        <w:snapToGrid w:val="0"/>
        <w:spacing w:line="620" w:lineRule="exact"/>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平顶山市</w:t>
      </w:r>
      <w:r>
        <w:rPr>
          <w:rFonts w:hint="eastAsia" w:ascii="方正小标宋_GBK" w:hAnsi="方正小标宋_GBK" w:eastAsia="方正小标宋_GBK" w:cs="方正小标宋_GBK"/>
          <w:b w:val="0"/>
          <w:bCs w:val="0"/>
          <w:sz w:val="44"/>
          <w:szCs w:val="44"/>
        </w:rPr>
        <w:t>校外培训机构星级评定办法（试行）</w:t>
      </w:r>
    </w:p>
    <w:p>
      <w:pPr>
        <w:ind w:left="0" w:leftChars="0" w:firstLine="0" w:firstLineChars="0"/>
        <w:jc w:val="center"/>
        <w:rPr>
          <w:rFonts w:hint="eastAsia"/>
          <w:sz w:val="36"/>
          <w:szCs w:val="36"/>
        </w:rPr>
      </w:pPr>
    </w:p>
    <w:p>
      <w:pPr>
        <w:bidi w:val="0"/>
        <w:rPr>
          <w:rFonts w:hint="eastAsia"/>
          <w:sz w:val="32"/>
          <w:szCs w:val="32"/>
        </w:rPr>
      </w:pPr>
      <w:r>
        <w:rPr>
          <w:rFonts w:hint="eastAsia"/>
          <w:sz w:val="32"/>
          <w:szCs w:val="32"/>
        </w:rPr>
        <w:t>为落实《国务院办公厅关于规范校外培训机构发展的意见》（国办发</w:t>
      </w:r>
      <w:r>
        <w:rPr>
          <w:rFonts w:hint="default" w:ascii="Times New Roman" w:hAnsi="Times New Roman" w:cs="Times New Roman"/>
          <w:sz w:val="32"/>
          <w:szCs w:val="32"/>
          <w:lang w:eastAsia="zh-CN"/>
        </w:rPr>
        <w:t>〔</w:t>
      </w:r>
      <w:r>
        <w:rPr>
          <w:rFonts w:hint="default" w:ascii="Times New Roman" w:hAnsi="Times New Roman" w:cs="Times New Roman"/>
          <w:sz w:val="32"/>
          <w:szCs w:val="32"/>
        </w:rPr>
        <w:t>2018</w:t>
      </w:r>
      <w:r>
        <w:rPr>
          <w:rFonts w:hint="default" w:ascii="Times New Roman" w:hAnsi="Times New Roman" w:cs="Times New Roman"/>
          <w:sz w:val="32"/>
          <w:szCs w:val="32"/>
          <w:lang w:eastAsia="zh-CN"/>
        </w:rPr>
        <w:t>〕</w:t>
      </w:r>
      <w:r>
        <w:rPr>
          <w:rFonts w:hint="default" w:ascii="Times New Roman" w:hAnsi="Times New Roman" w:cs="Times New Roman"/>
          <w:sz w:val="32"/>
          <w:szCs w:val="32"/>
        </w:rPr>
        <w:t>80</w:t>
      </w:r>
      <w:r>
        <w:rPr>
          <w:rFonts w:hint="eastAsia"/>
          <w:sz w:val="32"/>
          <w:szCs w:val="32"/>
        </w:rPr>
        <w:t>号）精神，</w:t>
      </w:r>
      <w:r>
        <w:rPr>
          <w:rFonts w:hint="eastAsia" w:ascii="Calibri" w:eastAsia="仿宋_GB2312"/>
          <w:sz w:val="32"/>
          <w:szCs w:val="32"/>
          <w:lang w:val="en-US" w:eastAsia="zh-CN"/>
        </w:rPr>
        <w:t>进一步促进我市校外培训机构内涵建设、规范发展</w:t>
      </w:r>
      <w:r>
        <w:rPr>
          <w:rFonts w:hint="eastAsia"/>
          <w:sz w:val="32"/>
          <w:szCs w:val="32"/>
        </w:rPr>
        <w:t>，客观评价校外培训机构的办学水平，构建校外培训机构评估制度，促进校外培训机构改善办学条件，提升培训质量，推动全市校外培训机构规范健康发展，特制订本办法。</w:t>
      </w:r>
    </w:p>
    <w:p>
      <w:pPr>
        <w:ind w:left="0" w:leftChars="0" w:firstLine="0" w:firstLineChars="0"/>
        <w:jc w:val="center"/>
        <w:rPr>
          <w:rFonts w:hint="eastAsia"/>
          <w:sz w:val="32"/>
          <w:szCs w:val="32"/>
        </w:rPr>
      </w:pPr>
      <w:r>
        <w:rPr>
          <w:rFonts w:hint="eastAsia"/>
          <w:sz w:val="32"/>
          <w:szCs w:val="32"/>
        </w:rPr>
        <w:t>第一章</w:t>
      </w:r>
      <w:r>
        <w:rPr>
          <w:rFonts w:hint="eastAsia" w:ascii="Calibri" w:eastAsia="仿宋_GB2312"/>
          <w:sz w:val="32"/>
          <w:szCs w:val="32"/>
          <w:lang w:val="en-US" w:eastAsia="zh-CN"/>
        </w:rPr>
        <w:t xml:space="preserve"> </w:t>
      </w:r>
      <w:r>
        <w:rPr>
          <w:rFonts w:hint="eastAsia"/>
          <w:sz w:val="32"/>
          <w:szCs w:val="32"/>
        </w:rPr>
        <w:t>总则</w:t>
      </w:r>
    </w:p>
    <w:p>
      <w:pPr>
        <w:bidi w:val="0"/>
        <w:rPr>
          <w:rFonts w:hint="eastAsia"/>
          <w:sz w:val="32"/>
          <w:szCs w:val="32"/>
        </w:rPr>
      </w:pPr>
      <w:r>
        <w:rPr>
          <w:rFonts w:hint="eastAsia"/>
          <w:sz w:val="32"/>
          <w:szCs w:val="32"/>
        </w:rPr>
        <w:t>第一条</w:t>
      </w:r>
      <w:r>
        <w:rPr>
          <w:rFonts w:hint="eastAsia" w:ascii="Calibri" w:eastAsia="仿宋_GB2312"/>
          <w:sz w:val="32"/>
          <w:szCs w:val="32"/>
          <w:lang w:val="en-US" w:eastAsia="zh-CN"/>
        </w:rPr>
        <w:t xml:space="preserve"> </w:t>
      </w:r>
      <w:r>
        <w:rPr>
          <w:rFonts w:hint="eastAsia"/>
          <w:sz w:val="32"/>
          <w:szCs w:val="32"/>
        </w:rPr>
        <w:t>为全面贯彻党的教育方针，以立德树人，发展素质教育为根本任务，坚持以评促管、以评促改、以评促建，促进校外培训机构内涵建设、规范发展，全面提高教育教学质量，满足人民群众多样化教育需求。</w:t>
      </w:r>
    </w:p>
    <w:p>
      <w:pPr>
        <w:bidi w:val="0"/>
        <w:rPr>
          <w:rFonts w:hint="eastAsia"/>
          <w:sz w:val="32"/>
          <w:szCs w:val="32"/>
        </w:rPr>
      </w:pPr>
      <w:r>
        <w:rPr>
          <w:rFonts w:hint="eastAsia"/>
          <w:sz w:val="32"/>
          <w:szCs w:val="32"/>
        </w:rPr>
        <w:t>第二条</w:t>
      </w:r>
      <w:r>
        <w:rPr>
          <w:rFonts w:hint="eastAsia" w:ascii="Calibri" w:eastAsia="仿宋_GB2312"/>
          <w:sz w:val="32"/>
          <w:szCs w:val="32"/>
          <w:lang w:val="en-US" w:eastAsia="zh-CN"/>
        </w:rPr>
        <w:t xml:space="preserve"> </w:t>
      </w:r>
      <w:r>
        <w:rPr>
          <w:rFonts w:hint="eastAsia"/>
          <w:sz w:val="32"/>
          <w:szCs w:val="32"/>
        </w:rPr>
        <w:t>在</w:t>
      </w:r>
      <w:r>
        <w:rPr>
          <w:rFonts w:hint="eastAsia" w:eastAsia="仿宋_GB2312"/>
          <w:sz w:val="32"/>
          <w:szCs w:val="32"/>
          <w:lang w:eastAsia="zh-CN"/>
        </w:rPr>
        <w:t>各县（市、区）</w:t>
      </w:r>
      <w:r>
        <w:rPr>
          <w:rFonts w:hint="eastAsia"/>
          <w:sz w:val="32"/>
          <w:szCs w:val="32"/>
        </w:rPr>
        <w:t>取得《民办学校办学许可证》，且已开展一年及以上办学活动的校外培训机构均可申请参与星级评定，被县（市</w:t>
      </w:r>
      <w:r>
        <w:rPr>
          <w:rFonts w:hint="eastAsia" w:eastAsia="仿宋_GB2312"/>
          <w:sz w:val="32"/>
          <w:szCs w:val="32"/>
          <w:lang w:eastAsia="zh-CN"/>
        </w:rPr>
        <w:t>、区</w:t>
      </w:r>
      <w:r>
        <w:rPr>
          <w:rFonts w:hint="eastAsia"/>
          <w:sz w:val="32"/>
          <w:szCs w:val="32"/>
        </w:rPr>
        <w:t>）列入“黑名单”的除外。各校外培训机构的备案教学点不得作为申报主体，备案教学点各项指标纳入其所在地办证校外培训机构的评定指标体系中。</w:t>
      </w:r>
    </w:p>
    <w:p>
      <w:pPr>
        <w:bidi w:val="0"/>
        <w:rPr>
          <w:rFonts w:hint="eastAsia"/>
          <w:sz w:val="32"/>
          <w:szCs w:val="32"/>
        </w:rPr>
      </w:pPr>
      <w:r>
        <w:rPr>
          <w:rFonts w:hint="eastAsia"/>
          <w:sz w:val="32"/>
          <w:szCs w:val="32"/>
        </w:rPr>
        <w:t>第三条</w:t>
      </w:r>
      <w:r>
        <w:rPr>
          <w:rFonts w:hint="eastAsia" w:ascii="Calibri" w:eastAsia="仿宋_GB2312"/>
          <w:sz w:val="32"/>
          <w:szCs w:val="32"/>
          <w:lang w:val="en-US" w:eastAsia="zh-CN"/>
        </w:rPr>
        <w:t xml:space="preserve"> </w:t>
      </w:r>
      <w:r>
        <w:rPr>
          <w:rFonts w:hint="eastAsia"/>
          <w:sz w:val="32"/>
          <w:szCs w:val="32"/>
        </w:rPr>
        <w:t>校外培训机构星级评定坚持自愿性、主体性、协同性、发展性、全面性的原则。</w:t>
      </w:r>
    </w:p>
    <w:p>
      <w:pPr>
        <w:ind w:left="0" w:leftChars="0" w:firstLine="0" w:firstLineChars="0"/>
        <w:jc w:val="center"/>
        <w:rPr>
          <w:rFonts w:hint="eastAsia"/>
          <w:sz w:val="32"/>
          <w:szCs w:val="32"/>
        </w:rPr>
      </w:pPr>
      <w:r>
        <w:rPr>
          <w:rFonts w:hint="eastAsia"/>
          <w:sz w:val="32"/>
          <w:szCs w:val="32"/>
        </w:rPr>
        <w:t>第二章</w:t>
      </w:r>
      <w:r>
        <w:rPr>
          <w:rFonts w:hint="eastAsia" w:ascii="Calibri" w:eastAsia="仿宋_GB2312"/>
          <w:sz w:val="32"/>
          <w:szCs w:val="32"/>
          <w:lang w:val="en-US" w:eastAsia="zh-CN"/>
        </w:rPr>
        <w:t xml:space="preserve"> </w:t>
      </w:r>
      <w:r>
        <w:rPr>
          <w:rFonts w:hint="eastAsia"/>
          <w:sz w:val="32"/>
          <w:szCs w:val="32"/>
        </w:rPr>
        <w:t>评定内容</w:t>
      </w:r>
    </w:p>
    <w:p>
      <w:pPr>
        <w:bidi w:val="0"/>
        <w:rPr>
          <w:rFonts w:hint="eastAsia"/>
          <w:sz w:val="32"/>
          <w:szCs w:val="32"/>
        </w:rPr>
      </w:pPr>
      <w:r>
        <w:rPr>
          <w:rFonts w:hint="eastAsia"/>
          <w:sz w:val="32"/>
          <w:szCs w:val="32"/>
        </w:rPr>
        <w:t>第四条</w:t>
      </w:r>
      <w:r>
        <w:rPr>
          <w:rFonts w:hint="eastAsia" w:ascii="Calibri" w:eastAsia="仿宋_GB2312"/>
          <w:sz w:val="32"/>
          <w:szCs w:val="32"/>
          <w:lang w:val="en-US" w:eastAsia="zh-CN"/>
        </w:rPr>
        <w:t xml:space="preserve"> </w:t>
      </w:r>
      <w:r>
        <w:rPr>
          <w:rFonts w:hint="eastAsia"/>
          <w:sz w:val="32"/>
          <w:szCs w:val="32"/>
        </w:rPr>
        <w:t>全市校外培训机构星级评定结果分为四个等级，从低到高分别为：二星级、三星级、四星级、五星级，指标要求逐级提升。校外培训机构申报二星级和三星级的，由</w:t>
      </w:r>
      <w:r>
        <w:rPr>
          <w:rFonts w:hint="eastAsia"/>
          <w:sz w:val="32"/>
          <w:szCs w:val="32"/>
          <w:lang w:eastAsia="zh-CN"/>
        </w:rPr>
        <w:t>各县（市、区）教体局</w:t>
      </w:r>
      <w:r>
        <w:rPr>
          <w:rFonts w:hint="eastAsia"/>
          <w:sz w:val="32"/>
          <w:szCs w:val="32"/>
        </w:rPr>
        <w:t>评定，评定结果报市教育</w:t>
      </w:r>
      <w:r>
        <w:rPr>
          <w:rFonts w:hint="eastAsia" w:eastAsia="仿宋_GB2312"/>
          <w:sz w:val="32"/>
          <w:szCs w:val="32"/>
          <w:lang w:eastAsia="zh-CN"/>
        </w:rPr>
        <w:t>体育</w:t>
      </w:r>
      <w:r>
        <w:rPr>
          <w:rFonts w:hint="eastAsia"/>
          <w:sz w:val="32"/>
          <w:szCs w:val="32"/>
        </w:rPr>
        <w:t>局备案</w:t>
      </w:r>
      <w:r>
        <w:rPr>
          <w:rFonts w:hint="eastAsia" w:eastAsia="仿宋_GB2312"/>
          <w:sz w:val="32"/>
          <w:szCs w:val="32"/>
          <w:lang w:eastAsia="zh-CN"/>
        </w:rPr>
        <w:t>并接受市</w:t>
      </w:r>
      <w:r>
        <w:rPr>
          <w:rFonts w:hint="eastAsia"/>
          <w:sz w:val="32"/>
          <w:szCs w:val="32"/>
          <w:lang w:eastAsia="zh-CN"/>
        </w:rPr>
        <w:t>教体局</w:t>
      </w:r>
      <w:r>
        <w:rPr>
          <w:rFonts w:hint="eastAsia" w:eastAsia="仿宋_GB2312"/>
          <w:sz w:val="32"/>
          <w:szCs w:val="32"/>
          <w:lang w:eastAsia="zh-CN"/>
        </w:rPr>
        <w:t>抽查</w:t>
      </w:r>
      <w:r>
        <w:rPr>
          <w:rFonts w:hint="eastAsia"/>
          <w:sz w:val="32"/>
          <w:szCs w:val="32"/>
        </w:rPr>
        <w:t>；校外培训机构申报四星级和五星级的，由</w:t>
      </w:r>
      <w:r>
        <w:rPr>
          <w:rFonts w:hint="eastAsia"/>
          <w:sz w:val="32"/>
          <w:szCs w:val="32"/>
          <w:lang w:eastAsia="zh-CN"/>
        </w:rPr>
        <w:t>各县（市、区）教体局</w:t>
      </w:r>
      <w:r>
        <w:rPr>
          <w:rFonts w:hint="eastAsia"/>
          <w:sz w:val="32"/>
          <w:szCs w:val="32"/>
        </w:rPr>
        <w:t>初评，拟定结论后，报市教育局组织评定。</w:t>
      </w:r>
    </w:p>
    <w:p>
      <w:pPr>
        <w:bidi w:val="0"/>
        <w:rPr>
          <w:rFonts w:hint="eastAsia"/>
          <w:sz w:val="32"/>
          <w:szCs w:val="32"/>
        </w:rPr>
      </w:pPr>
      <w:r>
        <w:rPr>
          <w:rFonts w:hint="eastAsia"/>
          <w:sz w:val="32"/>
          <w:szCs w:val="32"/>
        </w:rPr>
        <w:t>第五条</w:t>
      </w:r>
      <w:r>
        <w:rPr>
          <w:rFonts w:hint="eastAsia" w:ascii="Calibri" w:eastAsia="仿宋_GB2312"/>
          <w:sz w:val="32"/>
          <w:szCs w:val="32"/>
          <w:lang w:val="en-US" w:eastAsia="zh-CN"/>
        </w:rPr>
        <w:t xml:space="preserve"> </w:t>
      </w:r>
      <w:r>
        <w:rPr>
          <w:rFonts w:hint="eastAsia"/>
          <w:sz w:val="32"/>
          <w:szCs w:val="32"/>
        </w:rPr>
        <w:t>全市校外培训机构星级评定采用一套标准，两类指标。一是核心指标，该项指标共</w:t>
      </w:r>
      <w:r>
        <w:rPr>
          <w:rFonts w:hint="default" w:ascii="Times New Roman" w:hAnsi="Times New Roman" w:cs="Times New Roman"/>
          <w:sz w:val="32"/>
          <w:szCs w:val="32"/>
        </w:rPr>
        <w:t>有10个，列为重点评定要素，旨在发挥星级评定促进培训机构规范办学的导向作用。二是基础指标，该项指标共有1</w:t>
      </w:r>
      <w:r>
        <w:rPr>
          <w:rFonts w:hint="eastAsia" w:ascii="Times New Roman" w:hAnsi="Times New Roman" w:cs="Times New Roman"/>
          <w:sz w:val="32"/>
          <w:szCs w:val="32"/>
          <w:lang w:val="en-US" w:eastAsia="zh-CN"/>
        </w:rPr>
        <w:t>1</w:t>
      </w:r>
      <w:r>
        <w:rPr>
          <w:rFonts w:hint="default" w:ascii="Times New Roman" w:hAnsi="Times New Roman" w:cs="Times New Roman"/>
          <w:sz w:val="32"/>
          <w:szCs w:val="32"/>
        </w:rPr>
        <w:t>个</w:t>
      </w:r>
      <w:r>
        <w:rPr>
          <w:rFonts w:hint="eastAsia" w:ascii="仿宋_GB2312" w:hAnsi="仿宋_GB2312" w:eastAsia="仿宋_GB2312" w:cs="仿宋_GB2312"/>
          <w:sz w:val="32"/>
          <w:szCs w:val="32"/>
        </w:rPr>
        <w:t>，旨在推动校外培训机构达到“四个基本”合格（即规章制度基本健全、机构管理基本规范、培训条件基本达标，育人质量基本保障）</w:t>
      </w:r>
      <w:r>
        <w:rPr>
          <w:rFonts w:hint="eastAsia"/>
          <w:sz w:val="32"/>
          <w:szCs w:val="32"/>
        </w:rPr>
        <w:t>。全市校外培训机构星级评定指标体系</w:t>
      </w:r>
      <w:r>
        <w:rPr>
          <w:rFonts w:hint="eastAsia"/>
          <w:sz w:val="32"/>
          <w:szCs w:val="32"/>
          <w:lang w:eastAsia="zh-CN"/>
        </w:rPr>
        <w:t>详</w:t>
      </w:r>
      <w:r>
        <w:rPr>
          <w:rFonts w:hint="eastAsia"/>
          <w:sz w:val="32"/>
          <w:szCs w:val="32"/>
        </w:rPr>
        <w:t>见</w:t>
      </w:r>
      <w:r>
        <w:rPr>
          <w:rFonts w:hint="eastAsia"/>
          <w:sz w:val="32"/>
          <w:szCs w:val="32"/>
          <w:lang w:eastAsia="zh-CN"/>
        </w:rPr>
        <w:t>《平顶山市校外培训机构星级评定标准》（</w:t>
      </w:r>
      <w:r>
        <w:rPr>
          <w:rFonts w:hint="eastAsia"/>
          <w:sz w:val="32"/>
          <w:szCs w:val="32"/>
        </w:rPr>
        <w:t>附件</w:t>
      </w:r>
      <w:r>
        <w:rPr>
          <w:rFonts w:hint="default" w:ascii="Times New Roman" w:hAnsi="Times New Roman" w:cs="Times New Roman"/>
          <w:sz w:val="32"/>
          <w:szCs w:val="32"/>
          <w:lang w:val="en-US" w:eastAsia="zh-CN"/>
        </w:rPr>
        <w:t>2</w:t>
      </w:r>
      <w:r>
        <w:rPr>
          <w:rFonts w:hint="eastAsia"/>
          <w:sz w:val="32"/>
          <w:szCs w:val="32"/>
          <w:lang w:eastAsia="zh-CN"/>
        </w:rPr>
        <w:t>）</w:t>
      </w:r>
      <w:r>
        <w:rPr>
          <w:rFonts w:hint="eastAsia"/>
          <w:sz w:val="32"/>
          <w:szCs w:val="32"/>
        </w:rPr>
        <w:t>。</w:t>
      </w:r>
    </w:p>
    <w:p>
      <w:pPr>
        <w:ind w:left="0" w:leftChars="0" w:firstLine="0" w:firstLineChars="0"/>
        <w:jc w:val="center"/>
        <w:rPr>
          <w:rFonts w:hint="eastAsia"/>
          <w:sz w:val="32"/>
          <w:szCs w:val="32"/>
        </w:rPr>
      </w:pPr>
      <w:r>
        <w:rPr>
          <w:rFonts w:hint="eastAsia"/>
          <w:sz w:val="32"/>
          <w:szCs w:val="32"/>
        </w:rPr>
        <w:t>第三章</w:t>
      </w:r>
      <w:r>
        <w:rPr>
          <w:rFonts w:hint="eastAsia" w:ascii="Calibri" w:eastAsia="仿宋_GB2312"/>
          <w:sz w:val="32"/>
          <w:szCs w:val="32"/>
          <w:lang w:val="en-US" w:eastAsia="zh-CN"/>
        </w:rPr>
        <w:t xml:space="preserve"> </w:t>
      </w:r>
      <w:r>
        <w:rPr>
          <w:rFonts w:hint="eastAsia"/>
          <w:sz w:val="32"/>
          <w:szCs w:val="32"/>
        </w:rPr>
        <w:t>评定程序</w:t>
      </w:r>
    </w:p>
    <w:p>
      <w:pPr>
        <w:bidi w:val="0"/>
        <w:rPr>
          <w:rFonts w:hint="eastAsia"/>
          <w:sz w:val="32"/>
          <w:szCs w:val="32"/>
        </w:rPr>
      </w:pPr>
      <w:r>
        <w:rPr>
          <w:rFonts w:hint="eastAsia"/>
          <w:sz w:val="32"/>
          <w:szCs w:val="32"/>
        </w:rPr>
        <w:t>第六条</w:t>
      </w:r>
      <w:r>
        <w:rPr>
          <w:rFonts w:hint="eastAsia" w:ascii="Calibri" w:eastAsia="仿宋_GB2312"/>
          <w:sz w:val="32"/>
          <w:szCs w:val="32"/>
          <w:lang w:val="en-US" w:eastAsia="zh-CN"/>
        </w:rPr>
        <w:t xml:space="preserve"> </w:t>
      </w:r>
      <w:r>
        <w:rPr>
          <w:rFonts w:hint="eastAsia"/>
          <w:sz w:val="32"/>
          <w:szCs w:val="32"/>
        </w:rPr>
        <w:t>校外培训机构对照星级评定标准进行自评，客观地填报</w:t>
      </w:r>
      <w:r>
        <w:rPr>
          <w:rFonts w:hint="eastAsia"/>
          <w:sz w:val="32"/>
          <w:szCs w:val="32"/>
          <w:lang w:eastAsia="zh-CN"/>
        </w:rPr>
        <w:t>《</w:t>
      </w:r>
      <w:r>
        <w:rPr>
          <w:rFonts w:hint="eastAsia" w:ascii="Calibri" w:eastAsia="仿宋_GB2312"/>
          <w:sz w:val="32"/>
          <w:szCs w:val="32"/>
          <w:lang w:val="en-US" w:eastAsia="zh-CN"/>
        </w:rPr>
        <w:t>平顶山市校外培训机构星级评定申请表</w:t>
      </w:r>
      <w:r>
        <w:rPr>
          <w:rFonts w:hint="eastAsia"/>
          <w:sz w:val="32"/>
          <w:szCs w:val="32"/>
          <w:lang w:eastAsia="zh-CN"/>
        </w:rPr>
        <w:t>》</w:t>
      </w:r>
      <w:r>
        <w:rPr>
          <w:rFonts w:hint="eastAsia" w:eastAsia="仿宋_GB2312"/>
          <w:sz w:val="32"/>
          <w:szCs w:val="32"/>
          <w:lang w:eastAsia="zh-CN"/>
        </w:rPr>
        <w:t>（附件</w:t>
      </w:r>
      <w:r>
        <w:rPr>
          <w:rFonts w:hint="default" w:ascii="Times New Roman" w:hAnsi="Times New Roman" w:cs="Times New Roman"/>
          <w:sz w:val="32"/>
          <w:szCs w:val="32"/>
          <w:lang w:val="en-US" w:eastAsia="zh-CN"/>
        </w:rPr>
        <w:t>1</w:t>
      </w:r>
      <w:r>
        <w:rPr>
          <w:rFonts w:hint="eastAsia" w:eastAsia="仿宋_GB2312"/>
          <w:sz w:val="32"/>
          <w:szCs w:val="32"/>
          <w:lang w:eastAsia="zh-CN"/>
        </w:rPr>
        <w:t>）</w:t>
      </w:r>
      <w:r>
        <w:rPr>
          <w:rFonts w:hint="eastAsia"/>
          <w:sz w:val="32"/>
          <w:szCs w:val="32"/>
        </w:rPr>
        <w:t>，做好资料整理，提交自评报告。</w:t>
      </w:r>
    </w:p>
    <w:p>
      <w:pPr>
        <w:bidi w:val="0"/>
        <w:rPr>
          <w:rFonts w:hint="eastAsia"/>
          <w:sz w:val="32"/>
          <w:szCs w:val="32"/>
        </w:rPr>
      </w:pPr>
      <w:r>
        <w:rPr>
          <w:rFonts w:hint="eastAsia"/>
          <w:sz w:val="32"/>
          <w:szCs w:val="32"/>
        </w:rPr>
        <w:t>第七条</w:t>
      </w:r>
      <w:r>
        <w:rPr>
          <w:rFonts w:hint="eastAsia" w:ascii="Calibri" w:eastAsia="仿宋_GB2312"/>
          <w:sz w:val="32"/>
          <w:szCs w:val="32"/>
          <w:lang w:val="en-US" w:eastAsia="zh-CN"/>
        </w:rPr>
        <w:t xml:space="preserve"> </w:t>
      </w:r>
      <w:r>
        <w:rPr>
          <w:rFonts w:hint="eastAsia"/>
          <w:sz w:val="32"/>
          <w:szCs w:val="32"/>
        </w:rPr>
        <w:t>校外培训机构星级评定采取资料查阅、实地察看、专家评议等形式进行，</w:t>
      </w:r>
      <w:r>
        <w:rPr>
          <w:rFonts w:hint="eastAsia" w:eastAsia="仿宋_GB2312"/>
          <w:sz w:val="32"/>
          <w:szCs w:val="32"/>
          <w:lang w:eastAsia="zh-CN"/>
        </w:rPr>
        <w:t>并在参照全国中小学</w:t>
      </w:r>
      <w:r>
        <w:rPr>
          <w:rFonts w:hint="eastAsia"/>
          <w:sz w:val="32"/>
          <w:szCs w:val="32"/>
          <w:lang w:eastAsia="zh-CN"/>
        </w:rPr>
        <w:t>生</w:t>
      </w:r>
      <w:r>
        <w:rPr>
          <w:rFonts w:hint="eastAsia" w:eastAsia="仿宋_GB2312"/>
          <w:sz w:val="32"/>
          <w:szCs w:val="32"/>
          <w:lang w:eastAsia="zh-CN"/>
        </w:rPr>
        <w:t>校外培训机构管理服务平台和智慧教培平台以及教育部门网站相关信息和汇总评议意见的基础上进行赋分</w:t>
      </w:r>
      <w:r>
        <w:rPr>
          <w:rFonts w:hint="eastAsia"/>
          <w:sz w:val="32"/>
          <w:szCs w:val="32"/>
        </w:rPr>
        <w:t>。</w:t>
      </w:r>
    </w:p>
    <w:p>
      <w:pPr>
        <w:bidi w:val="0"/>
        <w:rPr>
          <w:rFonts w:hint="eastAsia"/>
          <w:sz w:val="32"/>
          <w:szCs w:val="32"/>
        </w:rPr>
      </w:pPr>
      <w:r>
        <w:rPr>
          <w:rFonts w:hint="eastAsia"/>
          <w:sz w:val="32"/>
          <w:szCs w:val="32"/>
        </w:rPr>
        <w:t>第八条</w:t>
      </w:r>
      <w:r>
        <w:rPr>
          <w:rFonts w:hint="eastAsia" w:ascii="Calibri" w:eastAsia="仿宋_GB2312"/>
          <w:sz w:val="32"/>
          <w:szCs w:val="32"/>
          <w:lang w:val="en-US" w:eastAsia="zh-CN"/>
        </w:rPr>
        <w:t xml:space="preserve"> </w:t>
      </w:r>
      <w:r>
        <w:rPr>
          <w:rFonts w:hint="eastAsia"/>
          <w:sz w:val="32"/>
          <w:szCs w:val="32"/>
        </w:rPr>
        <w:t>四星级和五星级的星级评定，每年</w:t>
      </w:r>
      <w:r>
        <w:rPr>
          <w:rFonts w:hint="eastAsia" w:ascii="Times New Roman" w:hAnsi="Times New Roman" w:cs="Times New Roman"/>
          <w:sz w:val="32"/>
          <w:szCs w:val="32"/>
          <w:lang w:val="en-US" w:eastAsia="zh-CN"/>
        </w:rPr>
        <w:t>5</w:t>
      </w:r>
      <w:r>
        <w:rPr>
          <w:rFonts w:hint="default" w:ascii="Times New Roman" w:hAnsi="Times New Roman" w:cs="Times New Roman"/>
          <w:sz w:val="32"/>
          <w:szCs w:val="32"/>
        </w:rPr>
        <w:t>月</w:t>
      </w:r>
      <w:r>
        <w:rPr>
          <w:rFonts w:hint="eastAsia" w:ascii="Times New Roman" w:hAnsi="Times New Roman" w:cs="Times New Roman"/>
          <w:sz w:val="32"/>
          <w:szCs w:val="32"/>
          <w:lang w:val="en-US" w:eastAsia="zh-CN"/>
        </w:rPr>
        <w:t>30</w:t>
      </w:r>
      <w:r>
        <w:rPr>
          <w:rFonts w:hint="eastAsia"/>
          <w:sz w:val="32"/>
          <w:szCs w:val="32"/>
        </w:rPr>
        <w:t>日前由</w:t>
      </w:r>
      <w:r>
        <w:rPr>
          <w:rFonts w:hint="eastAsia"/>
          <w:sz w:val="32"/>
          <w:szCs w:val="32"/>
          <w:lang w:eastAsia="zh-CN"/>
        </w:rPr>
        <w:t>各县（市、区）教体局</w:t>
      </w:r>
      <w:r>
        <w:rPr>
          <w:rFonts w:hint="eastAsia"/>
          <w:sz w:val="32"/>
          <w:szCs w:val="32"/>
        </w:rPr>
        <w:t>汇总上报参评校外培训机构名单，逾期不再受理申报。</w:t>
      </w:r>
    </w:p>
    <w:p>
      <w:pPr>
        <w:bidi w:val="0"/>
        <w:rPr>
          <w:rFonts w:hint="eastAsia" w:eastAsia="仿宋_GB2312"/>
          <w:sz w:val="32"/>
          <w:szCs w:val="32"/>
          <w:lang w:eastAsia="zh-CN"/>
        </w:rPr>
      </w:pPr>
      <w:r>
        <w:rPr>
          <w:rFonts w:hint="eastAsia"/>
          <w:sz w:val="32"/>
          <w:szCs w:val="32"/>
        </w:rPr>
        <w:t>第九条</w:t>
      </w:r>
      <w:r>
        <w:rPr>
          <w:rFonts w:hint="eastAsia" w:ascii="Calibri" w:eastAsia="仿宋_GB2312"/>
          <w:sz w:val="32"/>
          <w:szCs w:val="32"/>
          <w:lang w:val="en-US" w:eastAsia="zh-CN"/>
        </w:rPr>
        <w:t xml:space="preserve"> </w:t>
      </w:r>
      <w:r>
        <w:rPr>
          <w:rFonts w:hint="eastAsia"/>
          <w:sz w:val="32"/>
          <w:szCs w:val="32"/>
        </w:rPr>
        <w:t>二星级、三星级评定结果由县（市</w:t>
      </w:r>
      <w:r>
        <w:rPr>
          <w:rFonts w:hint="eastAsia" w:eastAsia="仿宋_GB2312"/>
          <w:sz w:val="32"/>
          <w:szCs w:val="32"/>
          <w:lang w:eastAsia="zh-CN"/>
        </w:rPr>
        <w:t>、区</w:t>
      </w:r>
      <w:r>
        <w:rPr>
          <w:rFonts w:hint="eastAsia"/>
          <w:sz w:val="32"/>
          <w:szCs w:val="32"/>
        </w:rPr>
        <w:t>）</w:t>
      </w:r>
      <w:r>
        <w:rPr>
          <w:rFonts w:hint="eastAsia"/>
          <w:sz w:val="32"/>
          <w:szCs w:val="32"/>
          <w:lang w:eastAsia="zh-CN"/>
        </w:rPr>
        <w:t>教体局</w:t>
      </w:r>
      <w:r>
        <w:rPr>
          <w:rFonts w:hint="eastAsia"/>
          <w:sz w:val="32"/>
          <w:szCs w:val="32"/>
        </w:rPr>
        <w:t>公示，四星级、五星级评定结果由市</w:t>
      </w:r>
      <w:r>
        <w:rPr>
          <w:rFonts w:hint="eastAsia"/>
          <w:sz w:val="32"/>
          <w:szCs w:val="32"/>
          <w:lang w:eastAsia="zh-CN"/>
        </w:rPr>
        <w:t>教体局</w:t>
      </w:r>
      <w:r>
        <w:rPr>
          <w:rFonts w:hint="eastAsia"/>
          <w:sz w:val="32"/>
          <w:szCs w:val="32"/>
        </w:rPr>
        <w:t>公示，公示无异议的予以</w:t>
      </w:r>
      <w:r>
        <w:rPr>
          <w:rFonts w:hint="eastAsia" w:eastAsia="仿宋_GB2312"/>
          <w:sz w:val="32"/>
          <w:szCs w:val="32"/>
          <w:lang w:eastAsia="zh-CN"/>
        </w:rPr>
        <w:t>红头文件</w:t>
      </w:r>
      <w:r>
        <w:rPr>
          <w:rFonts w:hint="eastAsia"/>
          <w:sz w:val="32"/>
          <w:szCs w:val="32"/>
        </w:rPr>
        <w:t>认定</w:t>
      </w:r>
      <w:r>
        <w:rPr>
          <w:rFonts w:hint="eastAsia" w:eastAsia="仿宋_GB2312"/>
          <w:sz w:val="32"/>
          <w:szCs w:val="32"/>
          <w:lang w:eastAsia="zh-CN"/>
        </w:rPr>
        <w:t>。</w:t>
      </w:r>
    </w:p>
    <w:p>
      <w:pPr>
        <w:bidi w:val="0"/>
        <w:ind w:left="0" w:leftChars="0" w:firstLine="0" w:firstLineChars="0"/>
        <w:jc w:val="center"/>
        <w:rPr>
          <w:rFonts w:hint="eastAsia"/>
          <w:sz w:val="32"/>
          <w:szCs w:val="32"/>
        </w:rPr>
      </w:pPr>
      <w:r>
        <w:rPr>
          <w:rFonts w:hint="eastAsia"/>
          <w:sz w:val="32"/>
          <w:szCs w:val="32"/>
        </w:rPr>
        <w:t>第四章</w:t>
      </w:r>
      <w:r>
        <w:rPr>
          <w:rFonts w:hint="eastAsia" w:ascii="Calibri" w:eastAsia="仿宋_GB2312"/>
          <w:sz w:val="32"/>
          <w:szCs w:val="32"/>
          <w:lang w:val="en-US" w:eastAsia="zh-CN"/>
        </w:rPr>
        <w:t xml:space="preserve"> </w:t>
      </w:r>
      <w:r>
        <w:rPr>
          <w:rFonts w:hint="eastAsia"/>
          <w:sz w:val="32"/>
          <w:szCs w:val="32"/>
        </w:rPr>
        <w:t>评定结论</w:t>
      </w:r>
    </w:p>
    <w:p>
      <w:pPr>
        <w:bidi w:val="0"/>
        <w:rPr>
          <w:rFonts w:hint="eastAsia" w:ascii="仿宋_GB2312" w:hAnsi="仿宋_GB2312" w:eastAsia="仿宋_GB2312" w:cs="仿宋_GB2312"/>
          <w:sz w:val="32"/>
          <w:szCs w:val="32"/>
        </w:rPr>
      </w:pPr>
      <w:r>
        <w:rPr>
          <w:rFonts w:hint="eastAsia"/>
          <w:sz w:val="32"/>
          <w:szCs w:val="32"/>
        </w:rPr>
        <w:t>第十条</w:t>
      </w:r>
      <w:r>
        <w:rPr>
          <w:rFonts w:hint="eastAsia" w:ascii="Calibri" w:eastAsia="仿宋_GB2312"/>
          <w:sz w:val="32"/>
          <w:szCs w:val="32"/>
          <w:lang w:val="en-US" w:eastAsia="zh-CN"/>
        </w:rPr>
        <w:t xml:space="preserve"> </w:t>
      </w:r>
      <w:r>
        <w:rPr>
          <w:rFonts w:hint="eastAsia"/>
          <w:sz w:val="32"/>
          <w:szCs w:val="32"/>
        </w:rPr>
        <w:t>全市校外培训机构星级评定采取百分制+核心指标的评定办法。</w:t>
      </w:r>
      <w:r>
        <w:rPr>
          <w:rFonts w:hint="default" w:ascii="Times New Roman" w:hAnsi="Times New Roman" w:cs="Times New Roman"/>
          <w:sz w:val="32"/>
          <w:szCs w:val="32"/>
        </w:rPr>
        <w:t>得分≥75，且核心指标得分项≥6，评定为</w:t>
      </w:r>
      <w:r>
        <w:rPr>
          <w:rFonts w:hint="eastAsia" w:ascii="仿宋_GB2312" w:hAnsi="仿宋_GB2312" w:eastAsia="仿宋_GB2312" w:cs="仿宋_GB2312"/>
          <w:sz w:val="32"/>
          <w:szCs w:val="32"/>
          <w:lang w:eastAsia="zh-CN"/>
        </w:rPr>
        <w:t>“</w:t>
      </w:r>
      <w:r>
        <w:rPr>
          <w:rFonts w:hint="default" w:ascii="Times New Roman" w:hAnsi="Times New Roman" w:cs="Times New Roman"/>
          <w:sz w:val="32"/>
          <w:szCs w:val="32"/>
        </w:rPr>
        <w:t>XX县（市</w:t>
      </w:r>
      <w:r>
        <w:rPr>
          <w:rFonts w:hint="eastAsia" w:ascii="Times New Roman" w:hAnsi="Times New Roman" w:cs="Times New Roman"/>
          <w:sz w:val="32"/>
          <w:szCs w:val="32"/>
          <w:lang w:eastAsia="zh-CN"/>
        </w:rPr>
        <w:t>、区</w:t>
      </w:r>
      <w:r>
        <w:rPr>
          <w:rFonts w:hint="default" w:ascii="Times New Roman" w:hAnsi="Times New Roman" w:cs="Times New Roman"/>
          <w:sz w:val="32"/>
          <w:szCs w:val="32"/>
        </w:rPr>
        <w:t>）二星级校外培训机构</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；得分≥80，且核心指标得分项≥7，评定为</w:t>
      </w:r>
      <w:r>
        <w:rPr>
          <w:rFonts w:hint="eastAsia" w:ascii="仿宋_GB2312" w:hAnsi="仿宋_GB2312" w:eastAsia="仿宋_GB2312" w:cs="仿宋_GB2312"/>
          <w:sz w:val="32"/>
          <w:szCs w:val="32"/>
        </w:rPr>
        <w:t>“</w:t>
      </w:r>
      <w:r>
        <w:rPr>
          <w:rFonts w:hint="default" w:ascii="Times New Roman" w:hAnsi="Times New Roman" w:cs="Times New Roman"/>
          <w:sz w:val="32"/>
          <w:szCs w:val="32"/>
        </w:rPr>
        <w:t>XX县（市</w:t>
      </w:r>
      <w:r>
        <w:rPr>
          <w:rFonts w:hint="eastAsia" w:ascii="Times New Roman" w:hAnsi="Times New Roman" w:cs="Times New Roman"/>
          <w:sz w:val="32"/>
          <w:szCs w:val="32"/>
          <w:lang w:eastAsia="zh-CN"/>
        </w:rPr>
        <w:t>、区</w:t>
      </w:r>
      <w:r>
        <w:rPr>
          <w:rFonts w:hint="default" w:ascii="Times New Roman" w:hAnsi="Times New Roman" w:cs="Times New Roman"/>
          <w:sz w:val="32"/>
          <w:szCs w:val="32"/>
        </w:rPr>
        <w:t>）三星级校外培训机构</w:t>
      </w:r>
      <w:r>
        <w:rPr>
          <w:rFonts w:hint="eastAsia" w:ascii="仿宋_GB2312" w:hAnsi="仿宋_GB2312" w:eastAsia="仿宋_GB2312" w:cs="仿宋_GB2312"/>
          <w:sz w:val="32"/>
          <w:szCs w:val="32"/>
        </w:rPr>
        <w:t>”；</w:t>
      </w:r>
      <w:r>
        <w:rPr>
          <w:rFonts w:hint="default" w:ascii="Times New Roman" w:hAnsi="Times New Roman" w:cs="Times New Roman"/>
          <w:sz w:val="32"/>
          <w:szCs w:val="32"/>
        </w:rPr>
        <w:t>得分≥85，且核心指标得分项≥8，评定为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平顶山市</w:t>
      </w:r>
      <w:r>
        <w:rPr>
          <w:rFonts w:hint="eastAsia" w:ascii="仿宋_GB2312" w:hAnsi="仿宋_GB2312" w:eastAsia="仿宋_GB2312" w:cs="仿宋_GB2312"/>
          <w:sz w:val="32"/>
          <w:szCs w:val="32"/>
        </w:rPr>
        <w:t>四星级校外培训机构”</w:t>
      </w:r>
      <w:r>
        <w:rPr>
          <w:rFonts w:hint="default" w:ascii="Times New Roman" w:hAnsi="Times New Roman" w:cs="Times New Roman"/>
          <w:sz w:val="32"/>
          <w:szCs w:val="32"/>
        </w:rPr>
        <w:t>；得分≥90，且核心指标得分项≥9，评定为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平顶山市</w:t>
      </w:r>
      <w:r>
        <w:rPr>
          <w:rFonts w:hint="eastAsia" w:ascii="仿宋_GB2312" w:hAnsi="仿宋_GB2312" w:eastAsia="仿宋_GB2312" w:cs="仿宋_GB2312"/>
          <w:sz w:val="32"/>
          <w:szCs w:val="32"/>
        </w:rPr>
        <w:t>五星级校外培训机构”。</w:t>
      </w:r>
    </w:p>
    <w:p>
      <w:pPr>
        <w:bidi w:val="0"/>
        <w:ind w:left="0" w:leftChars="0" w:firstLine="0" w:firstLineChars="0"/>
        <w:jc w:val="center"/>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eastAsia="zh-CN"/>
        </w:rPr>
        <w:t>第五章</w:t>
      </w:r>
      <w:r>
        <w:rPr>
          <w:rFonts w:hint="eastAsia" w:ascii="Times New Roman" w:hAnsi="Times New Roman" w:cs="Times New Roman"/>
          <w:sz w:val="32"/>
          <w:szCs w:val="32"/>
          <w:lang w:val="en-US" w:eastAsia="zh-CN"/>
        </w:rPr>
        <w:t xml:space="preserve"> 星级待遇</w:t>
      </w:r>
    </w:p>
    <w:p>
      <w:pPr>
        <w:bidi w:val="0"/>
        <w:rPr>
          <w:rFonts w:hint="eastAsia"/>
          <w:sz w:val="32"/>
          <w:szCs w:val="32"/>
          <w:lang w:val="en-US" w:eastAsia="zh-CN"/>
        </w:rPr>
      </w:pPr>
      <w:r>
        <w:rPr>
          <w:rFonts w:hint="eastAsia" w:eastAsia="仿宋_GB2312"/>
          <w:sz w:val="32"/>
          <w:szCs w:val="32"/>
          <w:lang w:eastAsia="zh-CN"/>
        </w:rPr>
        <w:t>第十一条</w:t>
      </w:r>
      <w:r>
        <w:rPr>
          <w:rFonts w:hint="eastAsia" w:ascii="Calibri" w:eastAsia="仿宋_GB2312"/>
          <w:sz w:val="32"/>
          <w:szCs w:val="32"/>
          <w:lang w:val="en-US" w:eastAsia="zh-CN"/>
        </w:rPr>
        <w:t xml:space="preserve"> 评定为二星级、三星级的校外机构由县（市、区）</w:t>
      </w:r>
      <w:r>
        <w:rPr>
          <w:rFonts w:hint="eastAsia"/>
          <w:sz w:val="32"/>
          <w:szCs w:val="32"/>
          <w:lang w:val="en-US" w:eastAsia="zh-CN"/>
        </w:rPr>
        <w:t>教体局</w:t>
      </w:r>
      <w:r>
        <w:rPr>
          <w:rFonts w:hint="eastAsia" w:ascii="Calibri" w:eastAsia="仿宋_GB2312"/>
          <w:sz w:val="32"/>
          <w:szCs w:val="32"/>
          <w:lang w:val="en-US" w:eastAsia="zh-CN"/>
        </w:rPr>
        <w:t>颁发星级评定牌匾，评定为四星级、五星级的校外培训机构由市</w:t>
      </w:r>
      <w:r>
        <w:rPr>
          <w:rFonts w:hint="eastAsia"/>
          <w:sz w:val="32"/>
          <w:szCs w:val="32"/>
          <w:lang w:val="en-US" w:eastAsia="zh-CN"/>
        </w:rPr>
        <w:t>教体局</w:t>
      </w:r>
      <w:r>
        <w:rPr>
          <w:rFonts w:hint="eastAsia" w:ascii="Calibri" w:eastAsia="仿宋_GB2312"/>
          <w:sz w:val="32"/>
          <w:szCs w:val="32"/>
          <w:lang w:val="en-US" w:eastAsia="zh-CN"/>
        </w:rPr>
        <w:t>颁发星级评定牌匾。</w:t>
      </w:r>
    </w:p>
    <w:p>
      <w:pPr>
        <w:bidi w:val="0"/>
        <w:rPr>
          <w:rFonts w:hint="eastAsia"/>
          <w:sz w:val="32"/>
          <w:szCs w:val="32"/>
          <w:lang w:val="en-US" w:eastAsia="zh-CN"/>
        </w:rPr>
      </w:pPr>
      <w:r>
        <w:rPr>
          <w:rFonts w:hint="eastAsia" w:ascii="Calibri" w:eastAsia="仿宋_GB2312"/>
          <w:sz w:val="32"/>
          <w:szCs w:val="32"/>
          <w:lang w:val="en-US" w:eastAsia="zh-CN"/>
        </w:rPr>
        <w:t>第十二条 星级评定等级在相关媒体和平台上进行宣传推送。</w:t>
      </w:r>
    </w:p>
    <w:p>
      <w:pPr>
        <w:bidi w:val="0"/>
        <w:rPr>
          <w:rFonts w:hint="eastAsia"/>
          <w:sz w:val="32"/>
          <w:szCs w:val="32"/>
          <w:lang w:val="en-US" w:eastAsia="zh-CN"/>
        </w:rPr>
      </w:pPr>
      <w:r>
        <w:rPr>
          <w:rFonts w:hint="eastAsia" w:ascii="Calibri" w:eastAsia="仿宋_GB2312"/>
          <w:sz w:val="32"/>
          <w:szCs w:val="32"/>
          <w:lang w:val="en-US" w:eastAsia="zh-CN"/>
        </w:rPr>
        <w:t>第十三条 校外培训机构“黑白名单”及星级评定等级在市城区和县区的每学期《致家长的一封信》上公布，供学生和家长选择。</w:t>
      </w:r>
    </w:p>
    <w:p>
      <w:pPr>
        <w:bidi w:val="0"/>
        <w:rPr>
          <w:rFonts w:hint="eastAsia"/>
          <w:sz w:val="32"/>
          <w:szCs w:val="32"/>
          <w:lang w:val="en-US" w:eastAsia="zh-CN"/>
        </w:rPr>
      </w:pPr>
      <w:r>
        <w:rPr>
          <w:rFonts w:hint="eastAsia" w:ascii="Calibri" w:eastAsia="仿宋_GB2312"/>
          <w:sz w:val="32"/>
          <w:szCs w:val="32"/>
          <w:lang w:val="en-US" w:eastAsia="zh-CN"/>
        </w:rPr>
        <w:t>第十四条 评定为四星级、五星级的校外培训机构，</w:t>
      </w:r>
      <w:r>
        <w:rPr>
          <w:rFonts w:hint="eastAsia"/>
          <w:sz w:val="32"/>
          <w:szCs w:val="32"/>
          <w:lang w:val="en-US" w:eastAsia="zh-CN"/>
        </w:rPr>
        <w:t>各县（市、区）教体局</w:t>
      </w:r>
      <w:r>
        <w:rPr>
          <w:rFonts w:hint="eastAsia" w:ascii="Calibri" w:eastAsia="仿宋_GB2312"/>
          <w:sz w:val="32"/>
          <w:szCs w:val="32"/>
          <w:lang w:val="en-US" w:eastAsia="zh-CN"/>
        </w:rPr>
        <w:t>在对其进行年审时可实行备案制，年审相关报告及材料报</w:t>
      </w:r>
      <w:r>
        <w:rPr>
          <w:rFonts w:hint="eastAsia"/>
          <w:sz w:val="32"/>
          <w:szCs w:val="32"/>
          <w:lang w:val="en-US" w:eastAsia="zh-CN"/>
        </w:rPr>
        <w:t>教体局</w:t>
      </w:r>
      <w:r>
        <w:rPr>
          <w:rFonts w:hint="eastAsia" w:ascii="Calibri" w:eastAsia="仿宋_GB2312"/>
          <w:sz w:val="32"/>
          <w:szCs w:val="32"/>
          <w:lang w:val="en-US" w:eastAsia="zh-CN"/>
        </w:rPr>
        <w:t>备案以供查询即可。</w:t>
      </w:r>
    </w:p>
    <w:p>
      <w:pPr>
        <w:bidi w:val="0"/>
        <w:rPr>
          <w:rFonts w:hint="eastAsia" w:ascii="Times New Roman" w:hAnsi="Times New Roman" w:cs="Times New Roman"/>
          <w:sz w:val="32"/>
          <w:szCs w:val="32"/>
          <w:lang w:val="en-US" w:eastAsia="zh-CN"/>
        </w:rPr>
      </w:pPr>
      <w:r>
        <w:rPr>
          <w:rFonts w:hint="eastAsia" w:ascii="Calibri" w:eastAsia="仿宋_GB2312"/>
          <w:sz w:val="32"/>
          <w:szCs w:val="32"/>
          <w:lang w:val="en-US" w:eastAsia="zh-CN"/>
        </w:rPr>
        <w:t>第十五条 在全市校外培训机构学员预缴费服务系统（智慧教培平台）中将“平顶山市五星级、四星级校外培训机构”开课前的课程资金预支付比例分别提高至不少于该课程预缴费总额的</w:t>
      </w:r>
      <w:r>
        <w:rPr>
          <w:rFonts w:hint="eastAsia" w:ascii="Times New Roman" w:hAnsi="Times New Roman" w:cs="Times New Roman"/>
          <w:sz w:val="32"/>
          <w:szCs w:val="32"/>
          <w:lang w:val="en-US" w:eastAsia="zh-CN"/>
        </w:rPr>
        <w:t>8</w:t>
      </w:r>
      <w:r>
        <w:rPr>
          <w:rFonts w:hint="default" w:ascii="Times New Roman" w:hAnsi="Times New Roman" w:cs="Times New Roman"/>
          <w:sz w:val="32"/>
          <w:szCs w:val="32"/>
          <w:lang w:val="en-US" w:eastAsia="zh-CN"/>
        </w:rPr>
        <w:t>0%</w:t>
      </w:r>
      <w:r>
        <w:rPr>
          <w:rFonts w:hint="eastAsia" w:ascii="Times New Roman" w:hAnsi="Times New Roman" w:cs="Times New Roman"/>
          <w:sz w:val="32"/>
          <w:szCs w:val="32"/>
          <w:lang w:val="en-US" w:eastAsia="zh-CN"/>
        </w:rPr>
        <w:t>和70%，将“XX县（市、区）三星级、二星级校外培训机构”开课前的课程资金预支付比例分别提高至不少于该课程预缴费总额的60%和50%。</w:t>
      </w:r>
    </w:p>
    <w:p>
      <w:pPr>
        <w:bidi w:val="0"/>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第十六条 享受其他文件规定的相应待遇。</w:t>
      </w:r>
    </w:p>
    <w:p>
      <w:pPr>
        <w:bidi w:val="0"/>
        <w:ind w:left="0" w:leftChars="0" w:firstLine="0" w:firstLineChars="0"/>
        <w:jc w:val="center"/>
        <w:rPr>
          <w:rFonts w:hint="default" w:ascii="Times New Roman" w:hAnsi="Times New Roman" w:cs="Times New Roman"/>
          <w:sz w:val="32"/>
          <w:szCs w:val="32"/>
        </w:rPr>
      </w:pPr>
      <w:r>
        <w:rPr>
          <w:rFonts w:hint="default" w:ascii="Times New Roman" w:hAnsi="Times New Roman" w:cs="Times New Roman"/>
          <w:sz w:val="32"/>
          <w:szCs w:val="32"/>
        </w:rPr>
        <w:t>第</w:t>
      </w:r>
      <w:r>
        <w:rPr>
          <w:rFonts w:hint="eastAsia" w:ascii="Times New Roman" w:hAnsi="Times New Roman" w:cs="Times New Roman"/>
          <w:sz w:val="32"/>
          <w:szCs w:val="32"/>
          <w:lang w:eastAsia="zh-CN"/>
        </w:rPr>
        <w:t>六</w:t>
      </w:r>
      <w:r>
        <w:rPr>
          <w:rFonts w:hint="default" w:ascii="Times New Roman" w:hAnsi="Times New Roman" w:cs="Times New Roman"/>
          <w:sz w:val="32"/>
          <w:szCs w:val="32"/>
        </w:rPr>
        <w:t>章</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星级管理</w:t>
      </w:r>
    </w:p>
    <w:p>
      <w:pPr>
        <w:bidi w:val="0"/>
        <w:rPr>
          <w:rFonts w:hint="eastAsia"/>
          <w:sz w:val="32"/>
          <w:szCs w:val="32"/>
        </w:rPr>
      </w:pPr>
      <w:r>
        <w:rPr>
          <w:rFonts w:hint="default" w:ascii="Times New Roman" w:hAnsi="Times New Roman" w:cs="Times New Roman"/>
          <w:sz w:val="32"/>
          <w:szCs w:val="32"/>
        </w:rPr>
        <w:t>第十</w:t>
      </w:r>
      <w:r>
        <w:rPr>
          <w:rFonts w:hint="eastAsia" w:ascii="Times New Roman" w:hAnsi="Times New Roman" w:cs="Times New Roman"/>
          <w:sz w:val="32"/>
          <w:szCs w:val="32"/>
          <w:lang w:eastAsia="zh-CN"/>
        </w:rPr>
        <w:t>七</w:t>
      </w:r>
      <w:r>
        <w:rPr>
          <w:rFonts w:hint="default" w:ascii="Times New Roman" w:hAnsi="Times New Roman" w:cs="Times New Roman"/>
          <w:sz w:val="32"/>
          <w:szCs w:val="32"/>
        </w:rPr>
        <w:t>条</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校外培训机构星级评定每年上半年组织一次。获得相应星级的校外培训机构实行动态管理，每两年进行一轮复审，复审通过的保持原星级；没有通过的，要求限期整改，整改未达</w:t>
      </w:r>
      <w:r>
        <w:rPr>
          <w:rFonts w:hint="eastAsia"/>
          <w:sz w:val="32"/>
          <w:szCs w:val="32"/>
        </w:rPr>
        <w:t>到要求的作降星或取消星级处理，并摘牌。</w:t>
      </w:r>
    </w:p>
    <w:p>
      <w:pPr>
        <w:bidi w:val="0"/>
        <w:rPr>
          <w:rFonts w:hint="eastAsia"/>
          <w:sz w:val="32"/>
          <w:szCs w:val="32"/>
        </w:rPr>
      </w:pPr>
      <w:r>
        <w:rPr>
          <w:rFonts w:hint="eastAsia"/>
          <w:sz w:val="32"/>
          <w:szCs w:val="32"/>
        </w:rPr>
        <w:t>第十</w:t>
      </w:r>
      <w:r>
        <w:rPr>
          <w:rFonts w:hint="eastAsia" w:eastAsia="仿宋_GB2312"/>
          <w:sz w:val="32"/>
          <w:szCs w:val="32"/>
          <w:lang w:eastAsia="zh-CN"/>
        </w:rPr>
        <w:t>八</w:t>
      </w:r>
      <w:r>
        <w:rPr>
          <w:rFonts w:hint="eastAsia"/>
          <w:sz w:val="32"/>
          <w:szCs w:val="32"/>
        </w:rPr>
        <w:t>条</w:t>
      </w:r>
      <w:r>
        <w:rPr>
          <w:rFonts w:hint="eastAsia" w:ascii="Calibri" w:eastAsia="仿宋_GB2312"/>
          <w:sz w:val="32"/>
          <w:szCs w:val="32"/>
          <w:lang w:val="en-US" w:eastAsia="zh-CN"/>
        </w:rPr>
        <w:t xml:space="preserve"> </w:t>
      </w:r>
      <w:r>
        <w:rPr>
          <w:rFonts w:hint="eastAsia"/>
          <w:sz w:val="32"/>
          <w:szCs w:val="32"/>
        </w:rPr>
        <w:t>星级校外培训机构有下列情形之一，给予其降星处理：</w:t>
      </w:r>
    </w:p>
    <w:p>
      <w:pPr>
        <w:bidi w:val="0"/>
        <w:rPr>
          <w:rFonts w:hint="eastAsia"/>
          <w:sz w:val="32"/>
          <w:szCs w:val="32"/>
        </w:rPr>
      </w:pPr>
      <w:r>
        <w:rPr>
          <w:rFonts w:hint="eastAsia"/>
          <w:sz w:val="32"/>
          <w:szCs w:val="32"/>
        </w:rPr>
        <w:t>（一）家长投诉</w:t>
      </w:r>
      <w:r>
        <w:rPr>
          <w:rFonts w:hint="eastAsia" w:ascii="Times New Roman" w:hAnsi="Times New Roman" w:cs="Times New Roman"/>
          <w:sz w:val="32"/>
          <w:szCs w:val="32"/>
          <w:lang w:val="en-US" w:eastAsia="zh-CN"/>
        </w:rPr>
        <w:t>3</w:t>
      </w:r>
      <w:r>
        <w:rPr>
          <w:rFonts w:hint="eastAsia"/>
          <w:sz w:val="32"/>
          <w:szCs w:val="32"/>
        </w:rPr>
        <w:t>件以</w:t>
      </w:r>
      <w:r>
        <w:rPr>
          <w:rFonts w:hint="eastAsia" w:eastAsia="仿宋_GB2312"/>
          <w:sz w:val="32"/>
          <w:szCs w:val="32"/>
          <w:lang w:eastAsia="zh-CN"/>
        </w:rPr>
        <w:t>上</w:t>
      </w:r>
      <w:r>
        <w:rPr>
          <w:rFonts w:hint="eastAsia"/>
          <w:sz w:val="32"/>
          <w:szCs w:val="32"/>
        </w:rPr>
        <w:t>，且违规事实清楚的；</w:t>
      </w:r>
    </w:p>
    <w:p>
      <w:pPr>
        <w:bidi w:val="0"/>
        <w:rPr>
          <w:rFonts w:hint="eastAsia"/>
          <w:sz w:val="32"/>
          <w:szCs w:val="32"/>
        </w:rPr>
      </w:pPr>
      <w:r>
        <w:rPr>
          <w:rFonts w:hint="eastAsia"/>
          <w:sz w:val="32"/>
          <w:szCs w:val="32"/>
        </w:rPr>
        <w:t>（二）招生宣传与实际培训内容不一致的；</w:t>
      </w:r>
    </w:p>
    <w:p>
      <w:pPr>
        <w:bidi w:val="0"/>
        <w:rPr>
          <w:rFonts w:hint="eastAsia"/>
          <w:sz w:val="32"/>
          <w:szCs w:val="32"/>
        </w:rPr>
      </w:pPr>
      <w:r>
        <w:rPr>
          <w:rFonts w:hint="eastAsia"/>
          <w:sz w:val="32"/>
          <w:szCs w:val="32"/>
        </w:rPr>
        <w:t>（三）未按规定签订培训服务合同的；</w:t>
      </w:r>
    </w:p>
    <w:p>
      <w:pPr>
        <w:bidi w:val="0"/>
        <w:rPr>
          <w:rFonts w:hint="eastAsia"/>
          <w:sz w:val="32"/>
          <w:szCs w:val="32"/>
        </w:rPr>
      </w:pPr>
      <w:r>
        <w:rPr>
          <w:rFonts w:hint="eastAsia"/>
          <w:sz w:val="32"/>
          <w:szCs w:val="32"/>
        </w:rPr>
        <w:t>（四）收费退费纠纷多，且处理不及时，导致群体性事件的。</w:t>
      </w:r>
    </w:p>
    <w:p>
      <w:pPr>
        <w:bidi w:val="0"/>
        <w:rPr>
          <w:rFonts w:hint="eastAsia"/>
          <w:sz w:val="32"/>
          <w:szCs w:val="32"/>
        </w:rPr>
      </w:pPr>
      <w:r>
        <w:rPr>
          <w:rFonts w:hint="eastAsia"/>
          <w:sz w:val="32"/>
          <w:szCs w:val="32"/>
        </w:rPr>
        <w:t>第十</w:t>
      </w:r>
      <w:r>
        <w:rPr>
          <w:rFonts w:hint="eastAsia" w:eastAsia="仿宋_GB2312"/>
          <w:sz w:val="32"/>
          <w:szCs w:val="32"/>
          <w:lang w:eastAsia="zh-CN"/>
        </w:rPr>
        <w:t>九</w:t>
      </w:r>
      <w:r>
        <w:rPr>
          <w:rFonts w:hint="eastAsia"/>
          <w:sz w:val="32"/>
          <w:szCs w:val="32"/>
        </w:rPr>
        <w:t>条</w:t>
      </w:r>
      <w:r>
        <w:rPr>
          <w:rFonts w:hint="eastAsia" w:ascii="Calibri" w:eastAsia="仿宋_GB2312"/>
          <w:sz w:val="32"/>
          <w:szCs w:val="32"/>
          <w:lang w:val="en-US" w:eastAsia="zh-CN"/>
        </w:rPr>
        <w:t xml:space="preserve"> </w:t>
      </w:r>
      <w:r>
        <w:rPr>
          <w:rFonts w:hint="eastAsia"/>
          <w:sz w:val="32"/>
          <w:szCs w:val="32"/>
        </w:rPr>
        <w:t>星级校外培训机构有下列情形之一，给予其取消星级处理：</w:t>
      </w:r>
    </w:p>
    <w:p>
      <w:pPr>
        <w:bidi w:val="0"/>
        <w:rPr>
          <w:rFonts w:hint="eastAsia"/>
          <w:sz w:val="32"/>
          <w:szCs w:val="32"/>
        </w:rPr>
      </w:pPr>
      <w:r>
        <w:rPr>
          <w:rFonts w:hint="eastAsia"/>
          <w:sz w:val="32"/>
          <w:szCs w:val="32"/>
        </w:rPr>
        <w:t>（一）家长投诉</w:t>
      </w:r>
      <w:r>
        <w:rPr>
          <w:rFonts w:hint="default" w:ascii="Times New Roman" w:hAnsi="Times New Roman" w:cs="Times New Roman"/>
          <w:sz w:val="32"/>
          <w:szCs w:val="32"/>
        </w:rPr>
        <w:t>5</w:t>
      </w:r>
      <w:r>
        <w:rPr>
          <w:rFonts w:hint="eastAsia"/>
          <w:sz w:val="32"/>
          <w:szCs w:val="32"/>
        </w:rPr>
        <w:t>件以上，且违规事实清楚的；</w:t>
      </w:r>
    </w:p>
    <w:p>
      <w:pPr>
        <w:bidi w:val="0"/>
        <w:rPr>
          <w:rFonts w:hint="eastAsia"/>
          <w:sz w:val="32"/>
          <w:szCs w:val="32"/>
        </w:rPr>
      </w:pPr>
      <w:r>
        <w:rPr>
          <w:rFonts w:hint="eastAsia"/>
          <w:sz w:val="32"/>
          <w:szCs w:val="32"/>
        </w:rPr>
        <w:t>（二）办学行为违反</w:t>
      </w:r>
      <w:r>
        <w:rPr>
          <w:rFonts w:hint="eastAsia" w:eastAsia="仿宋_GB2312"/>
          <w:sz w:val="32"/>
          <w:szCs w:val="32"/>
          <w:lang w:eastAsia="zh-CN"/>
        </w:rPr>
        <w:t>《河南省</w:t>
      </w:r>
      <w:r>
        <w:rPr>
          <w:rFonts w:hint="eastAsia"/>
          <w:sz w:val="32"/>
          <w:szCs w:val="32"/>
        </w:rPr>
        <w:t>校外培训机构“</w:t>
      </w:r>
      <w:r>
        <w:rPr>
          <w:rFonts w:hint="eastAsia" w:eastAsia="仿宋_GB2312"/>
          <w:sz w:val="32"/>
          <w:szCs w:val="32"/>
          <w:lang w:eastAsia="zh-CN"/>
        </w:rPr>
        <w:t>十</w:t>
      </w:r>
      <w:r>
        <w:rPr>
          <w:rFonts w:hint="eastAsia"/>
          <w:sz w:val="32"/>
          <w:szCs w:val="32"/>
        </w:rPr>
        <w:t>严禁”</w:t>
      </w:r>
      <w:r>
        <w:rPr>
          <w:rFonts w:hint="eastAsia" w:eastAsia="仿宋_GB2312"/>
          <w:sz w:val="32"/>
          <w:szCs w:val="32"/>
          <w:lang w:eastAsia="zh-CN"/>
        </w:rPr>
        <w:t>》</w:t>
      </w:r>
      <w:r>
        <w:rPr>
          <w:rFonts w:hint="eastAsia"/>
          <w:sz w:val="32"/>
          <w:szCs w:val="32"/>
        </w:rPr>
        <w:t>的</w:t>
      </w:r>
      <w:r>
        <w:rPr>
          <w:rFonts w:hint="eastAsia" w:eastAsia="仿宋_GB2312"/>
          <w:sz w:val="32"/>
          <w:szCs w:val="32"/>
          <w:lang w:eastAsia="zh-CN"/>
        </w:rPr>
        <w:t>（即：严禁未取得办学许可证开展学科类培训活动；严禁聘请中小学在职教师作为培训教师或以其他方式有偿参与培训活动；严禁开展“超纲教学”“提前教学”“强化应试”等违背教育规律的学科类培训；严禁以任何形式组织中小学生等级考试以及与中小学招生入学挂钩的竞赛、评级活动；严禁培训时间与当地中小学教学时间相冲突和在</w:t>
      </w:r>
      <w:r>
        <w:rPr>
          <w:rFonts w:hint="default" w:ascii="Times New Roman" w:hAnsi="Times New Roman" w:cs="Times New Roman"/>
          <w:sz w:val="32"/>
          <w:szCs w:val="32"/>
          <w:lang w:val="en-US" w:eastAsia="zh-CN"/>
        </w:rPr>
        <w:t>20</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30</w:t>
      </w:r>
      <w:r>
        <w:rPr>
          <w:rFonts w:hint="eastAsia" w:ascii="Times New Roman" w:hAnsi="Times New Roman" w:cs="Times New Roman"/>
          <w:sz w:val="32"/>
          <w:szCs w:val="32"/>
          <w:lang w:val="en-US" w:eastAsia="zh-CN"/>
        </w:rPr>
        <w:t>以后继续开展培训活动；严禁以任何形式到中小学校内进行招生宣传或者在学校周边发放招生广告；严禁以任何形式宣称或暗示培训结果将与中小学招生挂钩；严禁在招生简章、招生广告等宣传材料中虚假宣传，夸大培训效果或做出与提高应试成绩相关的保证性承诺；严禁在未经当事人同意的情况下，向其住宅、交通工具、通讯工具发送和推送各种广告性质的信息；严禁不按已在教育行政部门备案的培训地点、班次、内容、招生对象和上课时间等开展学科类培训</w:t>
      </w:r>
      <w:r>
        <w:rPr>
          <w:rFonts w:hint="eastAsia" w:eastAsia="仿宋_GB2312"/>
          <w:sz w:val="32"/>
          <w:szCs w:val="32"/>
          <w:lang w:eastAsia="zh-CN"/>
        </w:rPr>
        <w:t>）</w:t>
      </w:r>
      <w:r>
        <w:rPr>
          <w:rFonts w:hint="eastAsia"/>
          <w:sz w:val="32"/>
          <w:szCs w:val="32"/>
        </w:rPr>
        <w:t>；</w:t>
      </w:r>
    </w:p>
    <w:p>
      <w:pPr>
        <w:bidi w:val="0"/>
        <w:rPr>
          <w:rFonts w:hint="eastAsia"/>
          <w:sz w:val="32"/>
          <w:szCs w:val="32"/>
        </w:rPr>
      </w:pPr>
      <w:r>
        <w:rPr>
          <w:rFonts w:hint="eastAsia"/>
          <w:sz w:val="32"/>
          <w:szCs w:val="32"/>
        </w:rPr>
        <w:t>（三）</w:t>
      </w:r>
      <w:r>
        <w:rPr>
          <w:rFonts w:hint="eastAsia" w:eastAsia="仿宋_GB2312"/>
          <w:sz w:val="32"/>
          <w:szCs w:val="32"/>
          <w:lang w:eastAsia="zh-CN"/>
        </w:rPr>
        <w:t>没有在智慧教培平台实现预缴费资金全量监管的，</w:t>
      </w:r>
      <w:r>
        <w:rPr>
          <w:rFonts w:hint="eastAsia"/>
          <w:sz w:val="32"/>
          <w:szCs w:val="32"/>
        </w:rPr>
        <w:t>发生资金风险引发家长维权的；</w:t>
      </w:r>
    </w:p>
    <w:p>
      <w:pPr>
        <w:bidi w:val="0"/>
        <w:rPr>
          <w:rFonts w:hint="eastAsia"/>
          <w:sz w:val="32"/>
          <w:szCs w:val="32"/>
        </w:rPr>
      </w:pPr>
      <w:r>
        <w:rPr>
          <w:rFonts w:hint="eastAsia"/>
          <w:sz w:val="32"/>
          <w:szCs w:val="32"/>
        </w:rPr>
        <w:t>（四）发生负面舆情造成不良影响的；</w:t>
      </w:r>
    </w:p>
    <w:p>
      <w:pPr>
        <w:bidi w:val="0"/>
        <w:rPr>
          <w:rFonts w:hint="eastAsia"/>
          <w:sz w:val="32"/>
          <w:szCs w:val="32"/>
        </w:rPr>
      </w:pPr>
      <w:r>
        <w:rPr>
          <w:rFonts w:hint="eastAsia"/>
          <w:sz w:val="32"/>
          <w:szCs w:val="32"/>
        </w:rPr>
        <w:t>（五）因学校管理责任，发生重大伤亡及其他严重责任事故和教学事故的；</w:t>
      </w:r>
    </w:p>
    <w:p>
      <w:pPr>
        <w:bidi w:val="0"/>
        <w:rPr>
          <w:rFonts w:hint="eastAsia"/>
          <w:sz w:val="32"/>
          <w:szCs w:val="32"/>
        </w:rPr>
      </w:pPr>
      <w:r>
        <w:rPr>
          <w:rFonts w:hint="eastAsia"/>
          <w:sz w:val="32"/>
          <w:szCs w:val="32"/>
        </w:rPr>
        <w:t>（六）纳入全市校外培训机构黑名单的。</w:t>
      </w:r>
    </w:p>
    <w:p>
      <w:pPr>
        <w:bidi w:val="0"/>
        <w:ind w:left="0" w:leftChars="0" w:firstLine="0" w:firstLineChars="0"/>
        <w:jc w:val="center"/>
        <w:rPr>
          <w:rFonts w:hint="eastAsia"/>
          <w:sz w:val="32"/>
          <w:szCs w:val="32"/>
        </w:rPr>
      </w:pPr>
      <w:r>
        <w:rPr>
          <w:rFonts w:hint="eastAsia"/>
          <w:sz w:val="32"/>
          <w:szCs w:val="32"/>
        </w:rPr>
        <w:t>第</w:t>
      </w:r>
      <w:r>
        <w:rPr>
          <w:rFonts w:hint="eastAsia" w:eastAsia="仿宋_GB2312"/>
          <w:sz w:val="32"/>
          <w:szCs w:val="32"/>
          <w:lang w:eastAsia="zh-CN"/>
        </w:rPr>
        <w:t>七</w:t>
      </w:r>
      <w:r>
        <w:rPr>
          <w:rFonts w:hint="eastAsia"/>
          <w:sz w:val="32"/>
          <w:szCs w:val="32"/>
        </w:rPr>
        <w:t>章</w:t>
      </w:r>
      <w:r>
        <w:rPr>
          <w:rFonts w:hint="eastAsia" w:ascii="Calibri" w:eastAsia="仿宋_GB2312"/>
          <w:sz w:val="32"/>
          <w:szCs w:val="32"/>
          <w:lang w:val="en-US" w:eastAsia="zh-CN"/>
        </w:rPr>
        <w:t xml:space="preserve"> </w:t>
      </w:r>
      <w:r>
        <w:rPr>
          <w:rFonts w:hint="eastAsia"/>
          <w:sz w:val="32"/>
          <w:szCs w:val="32"/>
        </w:rPr>
        <w:t>附则</w:t>
      </w:r>
    </w:p>
    <w:p>
      <w:pPr>
        <w:bidi w:val="0"/>
        <w:rPr>
          <w:rFonts w:hint="eastAsia"/>
          <w:sz w:val="32"/>
          <w:szCs w:val="32"/>
        </w:rPr>
      </w:pPr>
      <w:r>
        <w:rPr>
          <w:rFonts w:hint="eastAsia"/>
          <w:sz w:val="32"/>
          <w:szCs w:val="32"/>
        </w:rPr>
        <w:t>第</w:t>
      </w:r>
      <w:r>
        <w:rPr>
          <w:rFonts w:hint="eastAsia" w:eastAsia="仿宋_GB2312"/>
          <w:sz w:val="32"/>
          <w:szCs w:val="32"/>
          <w:lang w:eastAsia="zh-CN"/>
        </w:rPr>
        <w:t>二十</w:t>
      </w:r>
      <w:r>
        <w:rPr>
          <w:rFonts w:hint="eastAsia"/>
          <w:sz w:val="32"/>
          <w:szCs w:val="32"/>
        </w:rPr>
        <w:t>条</w:t>
      </w:r>
      <w:r>
        <w:rPr>
          <w:rFonts w:hint="eastAsia" w:ascii="Calibri" w:eastAsia="仿宋_GB2312"/>
          <w:sz w:val="32"/>
          <w:szCs w:val="32"/>
          <w:lang w:val="en-US" w:eastAsia="zh-CN"/>
        </w:rPr>
        <w:t xml:space="preserve"> </w:t>
      </w:r>
      <w:r>
        <w:rPr>
          <w:rFonts w:hint="eastAsia"/>
          <w:sz w:val="32"/>
          <w:szCs w:val="32"/>
        </w:rPr>
        <w:t>本办法自发布之日起试行两年，本办法由</w:t>
      </w:r>
      <w:r>
        <w:rPr>
          <w:rFonts w:hint="eastAsia" w:eastAsia="仿宋_GB2312"/>
          <w:sz w:val="32"/>
          <w:szCs w:val="32"/>
          <w:lang w:eastAsia="zh-CN"/>
        </w:rPr>
        <w:t>平顶山市</w:t>
      </w:r>
      <w:r>
        <w:rPr>
          <w:rFonts w:hint="eastAsia"/>
          <w:sz w:val="32"/>
          <w:szCs w:val="32"/>
        </w:rPr>
        <w:t>教育</w:t>
      </w:r>
      <w:r>
        <w:rPr>
          <w:rFonts w:hint="eastAsia" w:eastAsia="仿宋_GB2312"/>
          <w:sz w:val="32"/>
          <w:szCs w:val="32"/>
          <w:lang w:eastAsia="zh-CN"/>
        </w:rPr>
        <w:t>体育</w:t>
      </w:r>
      <w:r>
        <w:rPr>
          <w:rFonts w:hint="eastAsia"/>
          <w:sz w:val="32"/>
          <w:szCs w:val="32"/>
        </w:rPr>
        <w:t>局负责解释。</w:t>
      </w:r>
    </w:p>
    <w:p>
      <w:pPr>
        <w:bidi w:val="0"/>
        <w:rPr>
          <w:rFonts w:hint="eastAsia"/>
          <w:sz w:val="32"/>
          <w:szCs w:val="32"/>
        </w:rPr>
      </w:pPr>
    </w:p>
    <w:p>
      <w:pPr>
        <w:bidi w:val="0"/>
        <w:rPr>
          <w:rFonts w:hint="eastAsia"/>
          <w:sz w:val="32"/>
          <w:szCs w:val="32"/>
          <w:lang w:val="en-US" w:eastAsia="zh-CN"/>
        </w:rPr>
      </w:pPr>
      <w:r>
        <w:rPr>
          <w:rFonts w:hint="eastAsia" w:eastAsia="仿宋_GB2312"/>
          <w:sz w:val="32"/>
          <w:szCs w:val="32"/>
          <w:lang w:eastAsia="zh-CN"/>
        </w:rPr>
        <w:t>附件：</w:t>
      </w:r>
      <w:r>
        <w:rPr>
          <w:rFonts w:hint="default" w:ascii="Times New Roman" w:hAnsi="Times New Roman" w:cs="Times New Roman"/>
          <w:sz w:val="32"/>
          <w:szCs w:val="32"/>
          <w:lang w:val="en-US" w:eastAsia="zh-CN"/>
        </w:rPr>
        <w:t>1.</w:t>
      </w:r>
      <w:r>
        <w:rPr>
          <w:rFonts w:hint="eastAsia" w:ascii="Calibri" w:eastAsia="仿宋_GB2312"/>
          <w:sz w:val="32"/>
          <w:szCs w:val="32"/>
          <w:lang w:val="en-US" w:eastAsia="zh-CN"/>
        </w:rPr>
        <w:t>平顶山市校外培训机构星级评定申请表</w:t>
      </w:r>
    </w:p>
    <w:p>
      <w:pPr>
        <w:bidi w:val="0"/>
        <w:ind w:leftChars="300"/>
        <w:rPr>
          <w:rFonts w:hint="default"/>
          <w:lang w:val="en-US" w:eastAsia="zh-CN"/>
        </w:rPr>
      </w:pPr>
      <w:r>
        <w:rPr>
          <w:rFonts w:hint="default" w:ascii="Times New Roman" w:hAnsi="Times New Roman" w:cs="Times New Roman"/>
          <w:sz w:val="32"/>
          <w:szCs w:val="32"/>
          <w:lang w:val="en-US" w:eastAsia="zh-CN"/>
        </w:rPr>
        <w:t>2.</w:t>
      </w:r>
      <w:r>
        <w:rPr>
          <w:rFonts w:hint="eastAsia" w:ascii="Calibri" w:eastAsia="仿宋_GB2312"/>
          <w:sz w:val="32"/>
          <w:szCs w:val="32"/>
          <w:lang w:val="en-US" w:eastAsia="zh-CN"/>
        </w:rPr>
        <w:t>平顶山市校外培训机构星级评定标准</w:t>
      </w:r>
    </w:p>
    <w:p>
      <w:pPr>
        <w:pStyle w:val="7"/>
        <w:keepNext/>
        <w:keepLines/>
        <w:pageBreakBefore w:val="0"/>
        <w:widowControl w:val="0"/>
        <w:shd w:val="clear" w:color="auto" w:fill="auto"/>
        <w:kinsoku/>
        <w:wordWrap/>
        <w:overflowPunct/>
        <w:topLinePunct w:val="0"/>
        <w:autoSpaceDE/>
        <w:autoSpaceDN/>
        <w:bidi w:val="0"/>
        <w:adjustRightInd/>
        <w:snapToGrid w:val="0"/>
        <w:spacing w:before="0" w:beforeLines="0" w:after="0" w:afterLines="0" w:line="400" w:lineRule="exact"/>
        <w:ind w:left="0" w:right="0" w:firstLine="0" w:firstLineChars="0"/>
        <w:jc w:val="left"/>
        <w:textAlignment w:val="auto"/>
        <w:rPr>
          <w:rFonts w:hint="eastAsia" w:ascii="黑体" w:hAnsi="黑体" w:eastAsia="黑体" w:cs="黑体"/>
          <w:sz w:val="32"/>
          <w:szCs w:val="32"/>
          <w:lang w:val="en-US" w:eastAsia="zh-CN"/>
        </w:rPr>
      </w:pPr>
      <w:r>
        <w:rPr>
          <w:rFonts w:hint="eastAsia"/>
        </w:rPr>
        <w:br w:type="page"/>
      </w:r>
      <w:bookmarkStart w:id="0" w:name="bookmark4"/>
      <w:bookmarkStart w:id="1" w:name="bookmark5"/>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pStyle w:val="7"/>
        <w:keepNext/>
        <w:keepLines/>
        <w:pageBreakBefore w:val="0"/>
        <w:widowControl w:val="0"/>
        <w:shd w:val="clear" w:color="auto" w:fill="auto"/>
        <w:kinsoku/>
        <w:wordWrap/>
        <w:overflowPunct/>
        <w:topLinePunct w:val="0"/>
        <w:autoSpaceDE/>
        <w:autoSpaceDN/>
        <w:bidi w:val="0"/>
        <w:adjustRightInd/>
        <w:snapToGrid/>
        <w:spacing w:before="0" w:beforeLines="0" w:after="156" w:afterLines="50" w:line="240" w:lineRule="auto"/>
        <w:ind w:left="0" w:right="0" w:firstLine="0" w:firstLineChars="0"/>
        <w:jc w:val="center"/>
        <w:textAlignment w:val="auto"/>
        <w:rPr>
          <w:snapToGrid/>
          <w:kern w:val="0"/>
        </w:rPr>
      </w:pPr>
      <w:r>
        <w:rPr>
          <w:rFonts w:hint="eastAsia"/>
          <w:snapToGrid/>
          <w:color w:val="000000"/>
          <w:spacing w:val="0"/>
          <w:w w:val="100"/>
          <w:kern w:val="0"/>
          <w:position w:val="0"/>
          <w:shd w:val="clear" w:color="auto" w:fill="auto"/>
          <w:lang w:eastAsia="zh-CN"/>
        </w:rPr>
        <w:t>平顶山市</w:t>
      </w:r>
      <w:r>
        <w:rPr>
          <w:snapToGrid/>
          <w:color w:val="000000"/>
          <w:spacing w:val="0"/>
          <w:w w:val="100"/>
          <w:kern w:val="0"/>
          <w:position w:val="0"/>
          <w:shd w:val="clear" w:color="auto" w:fill="auto"/>
        </w:rPr>
        <w:t>校外培训机构星级评定申报表</w:t>
      </w:r>
      <w:bookmarkEnd w:id="0"/>
      <w:bookmarkEnd w:id="1"/>
    </w:p>
    <w:tbl>
      <w:tblPr>
        <w:tblStyle w:val="5"/>
        <w:tblW w:w="0" w:type="auto"/>
        <w:jc w:val="center"/>
        <w:tblLayout w:type="fixed"/>
        <w:tblCellMar>
          <w:top w:w="0" w:type="dxa"/>
          <w:left w:w="10" w:type="dxa"/>
          <w:bottom w:w="0" w:type="dxa"/>
          <w:right w:w="10" w:type="dxa"/>
        </w:tblCellMar>
      </w:tblPr>
      <w:tblGrid>
        <w:gridCol w:w="1654"/>
        <w:gridCol w:w="1887"/>
        <w:gridCol w:w="765"/>
        <w:gridCol w:w="255"/>
        <w:gridCol w:w="1065"/>
        <w:gridCol w:w="215"/>
        <w:gridCol w:w="1214"/>
        <w:gridCol w:w="1867"/>
      </w:tblGrid>
      <w:tr>
        <w:tblPrEx>
          <w:tblCellMar>
            <w:top w:w="0" w:type="dxa"/>
            <w:left w:w="10" w:type="dxa"/>
            <w:bottom w:w="0" w:type="dxa"/>
            <w:right w:w="10" w:type="dxa"/>
          </w:tblCellMar>
        </w:tblPrEx>
        <w:trPr>
          <w:trHeight w:val="637" w:hRule="exact"/>
          <w:jc w:val="center"/>
        </w:trPr>
        <w:tc>
          <w:tcPr>
            <w:tcW w:w="1654"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right="0"/>
              <w:jc w:val="center"/>
              <w:textAlignment w:val="auto"/>
              <w:rPr>
                <w:snapToGrid/>
                <w:kern w:val="0"/>
                <w:sz w:val="28"/>
                <w:szCs w:val="28"/>
              </w:rPr>
            </w:pPr>
            <w:r>
              <w:rPr>
                <w:snapToGrid/>
                <w:color w:val="000000"/>
                <w:spacing w:val="0"/>
                <w:w w:val="100"/>
                <w:kern w:val="0"/>
                <w:position w:val="0"/>
                <w:sz w:val="28"/>
                <w:szCs w:val="28"/>
                <w:shd w:val="clear" w:color="auto" w:fill="auto"/>
              </w:rPr>
              <w:t>机构名称</w:t>
            </w:r>
          </w:p>
        </w:tc>
        <w:tc>
          <w:tcPr>
            <w:tcW w:w="7268" w:type="dxa"/>
            <w:gridSpan w:val="7"/>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right"/>
              <w:textAlignment w:val="auto"/>
              <w:rPr>
                <w:snapToGrid/>
                <w:kern w:val="0"/>
                <w:sz w:val="28"/>
                <w:szCs w:val="28"/>
              </w:rPr>
            </w:pPr>
            <w:r>
              <w:rPr>
                <w:snapToGrid/>
                <w:color w:val="000000"/>
                <w:spacing w:val="0"/>
                <w:w w:val="100"/>
                <w:kern w:val="0"/>
                <w:position w:val="0"/>
                <w:sz w:val="28"/>
                <w:szCs w:val="28"/>
                <w:shd w:val="clear" w:color="auto" w:fill="auto"/>
              </w:rPr>
              <w:t>（加盖公章）</w:t>
            </w:r>
          </w:p>
        </w:tc>
      </w:tr>
      <w:tr>
        <w:tblPrEx>
          <w:tblCellMar>
            <w:top w:w="0" w:type="dxa"/>
            <w:left w:w="10" w:type="dxa"/>
            <w:bottom w:w="0" w:type="dxa"/>
            <w:right w:w="10" w:type="dxa"/>
          </w:tblCellMar>
        </w:tblPrEx>
        <w:trPr>
          <w:trHeight w:val="769" w:hRule="exact"/>
          <w:jc w:val="center"/>
        </w:trPr>
        <w:tc>
          <w:tcPr>
            <w:tcW w:w="1654"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22" w:lineRule="exact"/>
              <w:ind w:left="0" w:right="0" w:firstLine="0" w:firstLineChars="0"/>
              <w:jc w:val="center"/>
              <w:textAlignment w:val="auto"/>
              <w:rPr>
                <w:snapToGrid/>
                <w:kern w:val="0"/>
                <w:sz w:val="28"/>
                <w:szCs w:val="28"/>
              </w:rPr>
            </w:pPr>
            <w:r>
              <w:rPr>
                <w:snapToGrid/>
                <w:color w:val="000000"/>
                <w:spacing w:val="0"/>
                <w:w w:val="100"/>
                <w:kern w:val="0"/>
                <w:position w:val="0"/>
                <w:sz w:val="28"/>
                <w:szCs w:val="28"/>
                <w:shd w:val="clear" w:color="auto" w:fill="auto"/>
              </w:rPr>
              <w:t>民办学校办学许可证号</w:t>
            </w:r>
          </w:p>
        </w:tc>
        <w:tc>
          <w:tcPr>
            <w:tcW w:w="2652" w:type="dxa"/>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c>
          <w:tcPr>
            <w:tcW w:w="1535" w:type="dxa"/>
            <w:gridSpan w:val="3"/>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19" w:lineRule="exact"/>
              <w:ind w:left="0" w:right="0" w:firstLine="0" w:firstLineChars="0"/>
              <w:jc w:val="center"/>
              <w:textAlignment w:val="auto"/>
              <w:rPr>
                <w:rFonts w:hint="eastAsia"/>
                <w:snapToGrid/>
                <w:color w:val="000000"/>
                <w:spacing w:val="0"/>
                <w:w w:val="100"/>
                <w:kern w:val="0"/>
                <w:position w:val="0"/>
                <w:sz w:val="28"/>
                <w:szCs w:val="28"/>
                <w:shd w:val="clear" w:color="auto" w:fill="auto"/>
                <w:lang w:eastAsia="zh-CN"/>
              </w:rPr>
            </w:pPr>
            <w:r>
              <w:rPr>
                <w:rFonts w:hint="eastAsia"/>
                <w:snapToGrid/>
                <w:color w:val="000000"/>
                <w:spacing w:val="0"/>
                <w:w w:val="100"/>
                <w:kern w:val="0"/>
                <w:position w:val="0"/>
                <w:sz w:val="28"/>
                <w:szCs w:val="28"/>
                <w:shd w:val="clear" w:color="auto" w:fill="auto"/>
                <w:lang w:eastAsia="zh-CN"/>
              </w:rPr>
              <w:t>分类登记</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19" w:lineRule="exact"/>
              <w:ind w:left="0" w:right="0" w:firstLine="0" w:firstLineChars="0"/>
              <w:jc w:val="center"/>
              <w:textAlignment w:val="auto"/>
              <w:rPr>
                <w:rFonts w:hint="eastAsia" w:eastAsia="宋体"/>
                <w:snapToGrid/>
                <w:kern w:val="0"/>
                <w:sz w:val="28"/>
                <w:szCs w:val="28"/>
                <w:lang w:eastAsia="zh-CN"/>
              </w:rPr>
            </w:pPr>
            <w:r>
              <w:rPr>
                <w:rFonts w:hint="eastAsia"/>
                <w:snapToGrid/>
                <w:color w:val="000000"/>
                <w:spacing w:val="0"/>
                <w:w w:val="100"/>
                <w:kern w:val="0"/>
                <w:position w:val="0"/>
                <w:sz w:val="28"/>
                <w:szCs w:val="28"/>
                <w:shd w:val="clear" w:color="auto" w:fill="auto"/>
                <w:lang w:eastAsia="zh-CN"/>
              </w:rPr>
              <w:t>情况</w:t>
            </w:r>
          </w:p>
        </w:tc>
        <w:tc>
          <w:tcPr>
            <w:tcW w:w="3081" w:type="dxa"/>
            <w:gridSpan w:val="2"/>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eastAsia="zh-CN"/>
              </w:rPr>
            </w:pPr>
            <w:r>
              <w:rPr>
                <w:rFonts w:hint="eastAsia" w:ascii="Calibri" w:eastAsia="仿宋_GB2312"/>
                <w:lang w:val="en-US" w:eastAsia="zh-CN"/>
              </w:rPr>
              <w:sym w:font="Wingdings 2" w:char="00A3"/>
            </w:r>
            <w:r>
              <w:rPr>
                <w:rFonts w:hint="eastAsia" w:eastAsia="仿宋_GB2312"/>
                <w:lang w:eastAsia="zh-CN"/>
              </w:rPr>
              <w:t>非营利性</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eastAsia="zh-CN"/>
              </w:rPr>
            </w:pPr>
            <w:r>
              <w:rPr>
                <w:rFonts w:hint="eastAsia" w:ascii="Calibri" w:eastAsia="仿宋_GB2312"/>
                <w:lang w:val="en-US" w:eastAsia="zh-CN"/>
              </w:rPr>
              <w:sym w:font="Wingdings 2" w:char="00A3"/>
            </w:r>
            <w:r>
              <w:rPr>
                <w:rFonts w:hint="eastAsia" w:eastAsia="仿宋_GB2312"/>
                <w:lang w:eastAsia="zh-CN"/>
              </w:rPr>
              <w:t>营利性</w:t>
            </w:r>
          </w:p>
        </w:tc>
      </w:tr>
      <w:tr>
        <w:tblPrEx>
          <w:tblCellMar>
            <w:top w:w="0" w:type="dxa"/>
            <w:left w:w="10" w:type="dxa"/>
            <w:bottom w:w="0" w:type="dxa"/>
            <w:right w:w="10" w:type="dxa"/>
          </w:tblCellMar>
        </w:tblPrEx>
        <w:trPr>
          <w:trHeight w:val="610" w:hRule="exact"/>
          <w:jc w:val="center"/>
        </w:trPr>
        <w:tc>
          <w:tcPr>
            <w:tcW w:w="1654"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right="0"/>
              <w:jc w:val="center"/>
              <w:textAlignment w:val="auto"/>
              <w:rPr>
                <w:snapToGrid/>
                <w:kern w:val="0"/>
                <w:sz w:val="28"/>
                <w:szCs w:val="28"/>
              </w:rPr>
            </w:pPr>
            <w:r>
              <w:rPr>
                <w:snapToGrid/>
                <w:color w:val="000000"/>
                <w:spacing w:val="0"/>
                <w:w w:val="100"/>
                <w:kern w:val="0"/>
                <w:position w:val="0"/>
                <w:sz w:val="28"/>
                <w:szCs w:val="28"/>
                <w:shd w:val="clear" w:color="auto" w:fill="auto"/>
              </w:rPr>
              <w:t>设立时间</w:t>
            </w:r>
          </w:p>
        </w:tc>
        <w:tc>
          <w:tcPr>
            <w:tcW w:w="2652" w:type="dxa"/>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c>
          <w:tcPr>
            <w:tcW w:w="1535" w:type="dxa"/>
            <w:gridSpan w:val="3"/>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snapToGrid/>
                <w:kern w:val="0"/>
                <w:sz w:val="28"/>
                <w:szCs w:val="28"/>
              </w:rPr>
            </w:pPr>
            <w:r>
              <w:rPr>
                <w:snapToGrid/>
                <w:color w:val="000000"/>
                <w:spacing w:val="0"/>
                <w:w w:val="100"/>
                <w:kern w:val="0"/>
                <w:position w:val="0"/>
                <w:sz w:val="28"/>
                <w:szCs w:val="28"/>
                <w:shd w:val="clear" w:color="auto" w:fill="auto"/>
              </w:rPr>
              <w:t>申报星级</w:t>
            </w:r>
          </w:p>
        </w:tc>
        <w:tc>
          <w:tcPr>
            <w:tcW w:w="3081" w:type="dxa"/>
            <w:gridSpan w:val="2"/>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648" w:hRule="exact"/>
          <w:jc w:val="center"/>
        </w:trPr>
        <w:tc>
          <w:tcPr>
            <w:tcW w:w="1654"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17" w:lineRule="exact"/>
              <w:ind w:left="0" w:right="0" w:firstLine="0" w:firstLineChars="0"/>
              <w:jc w:val="center"/>
              <w:textAlignment w:val="auto"/>
              <w:rPr>
                <w:snapToGrid/>
                <w:color w:val="000000"/>
                <w:spacing w:val="0"/>
                <w:w w:val="100"/>
                <w:kern w:val="0"/>
                <w:position w:val="0"/>
                <w:sz w:val="28"/>
                <w:szCs w:val="28"/>
                <w:shd w:val="clear" w:color="auto" w:fill="auto"/>
              </w:rPr>
            </w:pPr>
            <w:r>
              <w:rPr>
                <w:snapToGrid/>
                <w:color w:val="000000"/>
                <w:spacing w:val="0"/>
                <w:w w:val="100"/>
                <w:kern w:val="0"/>
                <w:position w:val="0"/>
                <w:sz w:val="28"/>
                <w:szCs w:val="28"/>
                <w:shd w:val="clear" w:color="auto" w:fill="auto"/>
              </w:rPr>
              <w:t>举办者及</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17" w:lineRule="exact"/>
              <w:ind w:left="0" w:right="0" w:firstLine="0" w:firstLineChars="0"/>
              <w:jc w:val="center"/>
              <w:textAlignment w:val="auto"/>
              <w:rPr>
                <w:snapToGrid/>
                <w:kern w:val="0"/>
                <w:sz w:val="28"/>
                <w:szCs w:val="28"/>
              </w:rPr>
            </w:pPr>
            <w:r>
              <w:rPr>
                <w:snapToGrid/>
                <w:color w:val="000000"/>
                <w:spacing w:val="0"/>
                <w:w w:val="100"/>
                <w:kern w:val="0"/>
                <w:position w:val="0"/>
                <w:sz w:val="28"/>
                <w:szCs w:val="28"/>
                <w:shd w:val="clear" w:color="auto" w:fill="auto"/>
              </w:rPr>
              <w:t>联系方式</w:t>
            </w:r>
          </w:p>
        </w:tc>
        <w:tc>
          <w:tcPr>
            <w:tcW w:w="2652" w:type="dxa"/>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c>
          <w:tcPr>
            <w:tcW w:w="1535" w:type="dxa"/>
            <w:gridSpan w:val="3"/>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22" w:lineRule="exact"/>
              <w:ind w:left="0" w:right="0" w:firstLine="0" w:firstLineChars="0"/>
              <w:jc w:val="center"/>
              <w:textAlignment w:val="auto"/>
              <w:rPr>
                <w:snapToGrid/>
                <w:kern w:val="0"/>
                <w:sz w:val="28"/>
                <w:szCs w:val="28"/>
              </w:rPr>
            </w:pPr>
            <w:r>
              <w:rPr>
                <w:snapToGrid/>
                <w:color w:val="000000"/>
                <w:spacing w:val="0"/>
                <w:w w:val="100"/>
                <w:kern w:val="0"/>
                <w:position w:val="0"/>
                <w:sz w:val="28"/>
                <w:szCs w:val="28"/>
                <w:shd w:val="clear" w:color="auto" w:fill="auto"/>
              </w:rPr>
              <w:t>校长（负责人）及联系方式</w:t>
            </w:r>
          </w:p>
        </w:tc>
        <w:tc>
          <w:tcPr>
            <w:tcW w:w="3081" w:type="dxa"/>
            <w:gridSpan w:val="2"/>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7" w:hRule="exact"/>
          <w:jc w:val="center"/>
        </w:trPr>
        <w:tc>
          <w:tcPr>
            <w:tcW w:w="165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24"/>
                <w:szCs w:val="24"/>
                <w:shd w:val="clear" w:color="auto" w:fill="auto"/>
                <w:lang w:eastAsia="en-US" w:bidi="en-US"/>
              </w:rPr>
            </w:pPr>
          </w:p>
        </w:tc>
        <w:tc>
          <w:tcPr>
            <w:tcW w:w="2652" w:type="dxa"/>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c>
          <w:tcPr>
            <w:tcW w:w="1535" w:type="dxa"/>
            <w:gridSpan w:val="3"/>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24"/>
                <w:szCs w:val="24"/>
                <w:shd w:val="clear" w:color="auto" w:fill="auto"/>
                <w:lang w:eastAsia="en-US" w:bidi="en-US"/>
              </w:rPr>
            </w:pPr>
          </w:p>
        </w:tc>
        <w:tc>
          <w:tcPr>
            <w:tcW w:w="3081" w:type="dxa"/>
            <w:gridSpan w:val="2"/>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8" w:hRule="exact"/>
          <w:jc w:val="center"/>
        </w:trPr>
        <w:tc>
          <w:tcPr>
            <w:tcW w:w="1654"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right="0"/>
              <w:jc w:val="center"/>
              <w:textAlignment w:val="auto"/>
              <w:rPr>
                <w:rFonts w:hint="eastAsia" w:eastAsia="宋体"/>
                <w:snapToGrid/>
                <w:color w:val="000000"/>
                <w:spacing w:val="0"/>
                <w:w w:val="100"/>
                <w:kern w:val="0"/>
                <w:position w:val="0"/>
                <w:sz w:val="28"/>
                <w:szCs w:val="28"/>
                <w:shd w:val="clear" w:color="auto" w:fill="auto"/>
                <w:lang w:eastAsia="zh-CN"/>
              </w:rPr>
            </w:pPr>
            <w:r>
              <w:rPr>
                <w:rFonts w:hint="eastAsia"/>
                <w:snapToGrid/>
                <w:color w:val="000000"/>
                <w:spacing w:val="0"/>
                <w:w w:val="100"/>
                <w:kern w:val="0"/>
                <w:position w:val="0"/>
                <w:sz w:val="28"/>
                <w:szCs w:val="28"/>
                <w:shd w:val="clear" w:color="auto" w:fill="auto"/>
                <w:lang w:eastAsia="zh-CN"/>
              </w:rPr>
              <w:t>办学内容</w:t>
            </w:r>
          </w:p>
        </w:tc>
        <w:tc>
          <w:tcPr>
            <w:tcW w:w="3972" w:type="dxa"/>
            <w:gridSpan w:val="4"/>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c>
          <w:tcPr>
            <w:tcW w:w="1429" w:type="dxa"/>
            <w:gridSpan w:val="2"/>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hint="eastAsia" w:eastAsia="宋体"/>
                <w:snapToGrid/>
                <w:color w:val="000000"/>
                <w:spacing w:val="0"/>
                <w:w w:val="100"/>
                <w:kern w:val="0"/>
                <w:position w:val="0"/>
                <w:sz w:val="28"/>
                <w:szCs w:val="28"/>
                <w:shd w:val="clear" w:color="auto" w:fill="auto"/>
                <w:lang w:eastAsia="zh-CN"/>
              </w:rPr>
            </w:pPr>
            <w:r>
              <w:rPr>
                <w:rFonts w:hint="eastAsia"/>
                <w:snapToGrid/>
                <w:color w:val="000000"/>
                <w:spacing w:val="0"/>
                <w:w w:val="100"/>
                <w:kern w:val="0"/>
                <w:position w:val="0"/>
                <w:sz w:val="28"/>
                <w:szCs w:val="28"/>
                <w:shd w:val="clear" w:color="auto" w:fill="auto"/>
                <w:lang w:eastAsia="zh-CN"/>
              </w:rPr>
              <w:t>成立时间</w:t>
            </w:r>
          </w:p>
        </w:tc>
        <w:tc>
          <w:tcPr>
            <w:tcW w:w="1867"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83" w:hRule="exact"/>
          <w:jc w:val="center"/>
        </w:trPr>
        <w:tc>
          <w:tcPr>
            <w:tcW w:w="1654"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right="0"/>
              <w:jc w:val="center"/>
              <w:textAlignment w:val="auto"/>
              <w:rPr>
                <w:snapToGrid/>
                <w:kern w:val="0"/>
                <w:sz w:val="28"/>
                <w:szCs w:val="28"/>
              </w:rPr>
            </w:pPr>
            <w:r>
              <w:rPr>
                <w:snapToGrid/>
                <w:color w:val="000000"/>
                <w:spacing w:val="0"/>
                <w:w w:val="100"/>
                <w:kern w:val="0"/>
                <w:position w:val="0"/>
                <w:sz w:val="28"/>
                <w:szCs w:val="28"/>
                <w:shd w:val="clear" w:color="auto" w:fill="auto"/>
              </w:rPr>
              <w:t>地址</w:t>
            </w:r>
          </w:p>
        </w:tc>
        <w:tc>
          <w:tcPr>
            <w:tcW w:w="3972" w:type="dxa"/>
            <w:gridSpan w:val="4"/>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c>
          <w:tcPr>
            <w:tcW w:w="1429" w:type="dxa"/>
            <w:gridSpan w:val="2"/>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snapToGrid/>
                <w:kern w:val="0"/>
                <w:sz w:val="28"/>
                <w:szCs w:val="28"/>
              </w:rPr>
            </w:pPr>
            <w:r>
              <w:rPr>
                <w:snapToGrid/>
                <w:color w:val="000000"/>
                <w:spacing w:val="0"/>
                <w:w w:val="100"/>
                <w:kern w:val="0"/>
                <w:position w:val="0"/>
                <w:sz w:val="28"/>
                <w:szCs w:val="28"/>
                <w:shd w:val="clear" w:color="auto" w:fill="auto"/>
              </w:rPr>
              <w:t>场地面积</w:t>
            </w:r>
          </w:p>
        </w:tc>
        <w:tc>
          <w:tcPr>
            <w:tcW w:w="1867"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759" w:hRule="exact"/>
          <w:jc w:val="center"/>
        </w:trPr>
        <w:tc>
          <w:tcPr>
            <w:tcW w:w="1654"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right="0"/>
              <w:jc w:val="center"/>
              <w:textAlignment w:val="auto"/>
              <w:rPr>
                <w:snapToGrid/>
                <w:kern w:val="0"/>
                <w:sz w:val="28"/>
                <w:szCs w:val="28"/>
              </w:rPr>
            </w:pPr>
            <w:r>
              <w:rPr>
                <w:snapToGrid/>
                <w:color w:val="000000"/>
                <w:spacing w:val="0"/>
                <w:w w:val="100"/>
                <w:kern w:val="0"/>
                <w:position w:val="0"/>
                <w:sz w:val="28"/>
                <w:szCs w:val="28"/>
                <w:shd w:val="clear" w:color="auto" w:fill="auto"/>
              </w:rPr>
              <w:t>教职工总数</w:t>
            </w:r>
          </w:p>
        </w:tc>
        <w:tc>
          <w:tcPr>
            <w:tcW w:w="1887" w:type="dxa"/>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22" w:lineRule="exact"/>
              <w:ind w:left="0" w:right="0" w:firstLine="0" w:firstLineChars="0"/>
              <w:jc w:val="center"/>
              <w:textAlignment w:val="auto"/>
              <w:rPr>
                <w:snapToGrid/>
                <w:kern w:val="0"/>
                <w:sz w:val="28"/>
                <w:szCs w:val="28"/>
              </w:rPr>
            </w:pPr>
          </w:p>
        </w:tc>
        <w:tc>
          <w:tcPr>
            <w:tcW w:w="1020" w:type="dxa"/>
            <w:gridSpan w:val="2"/>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22" w:lineRule="exact"/>
              <w:ind w:left="0" w:right="0" w:firstLine="0" w:firstLineChars="0"/>
              <w:jc w:val="center"/>
              <w:textAlignment w:val="auto"/>
              <w:rPr>
                <w:snapToGrid/>
                <w:color w:val="000000"/>
                <w:spacing w:val="0"/>
                <w:w w:val="100"/>
                <w:kern w:val="0"/>
                <w:position w:val="0"/>
                <w:sz w:val="28"/>
                <w:szCs w:val="28"/>
                <w:shd w:val="clear" w:color="auto" w:fill="auto"/>
              </w:rPr>
            </w:pPr>
            <w:r>
              <w:rPr>
                <w:snapToGrid/>
                <w:color w:val="000000"/>
                <w:spacing w:val="0"/>
                <w:w w:val="100"/>
                <w:kern w:val="0"/>
                <w:position w:val="0"/>
                <w:sz w:val="28"/>
                <w:szCs w:val="28"/>
                <w:shd w:val="clear" w:color="auto" w:fill="auto"/>
              </w:rPr>
              <w:t>教师</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22" w:lineRule="exact"/>
              <w:ind w:left="0" w:right="0" w:firstLine="0" w:firstLineChars="0"/>
              <w:jc w:val="center"/>
              <w:textAlignment w:val="auto"/>
              <w:rPr>
                <w:snapToGrid/>
                <w:color w:val="000000"/>
                <w:spacing w:val="0"/>
                <w:w w:val="100"/>
                <w:kern w:val="0"/>
                <w:position w:val="0"/>
                <w:sz w:val="28"/>
                <w:szCs w:val="28"/>
                <w:shd w:val="clear" w:color="auto" w:fill="auto"/>
              </w:rPr>
            </w:pPr>
            <w:r>
              <w:rPr>
                <w:snapToGrid/>
                <w:color w:val="000000"/>
                <w:spacing w:val="0"/>
                <w:w w:val="100"/>
                <w:kern w:val="0"/>
                <w:position w:val="0"/>
                <w:sz w:val="28"/>
                <w:szCs w:val="28"/>
                <w:shd w:val="clear" w:color="auto" w:fill="auto"/>
              </w:rPr>
              <w:t>人数</w:t>
            </w:r>
          </w:p>
        </w:tc>
        <w:tc>
          <w:tcPr>
            <w:tcW w:w="1065" w:type="dxa"/>
            <w:tcBorders>
              <w:top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c>
          <w:tcPr>
            <w:tcW w:w="1429" w:type="dxa"/>
            <w:gridSpan w:val="2"/>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22" w:lineRule="exact"/>
              <w:ind w:left="0" w:right="0" w:firstLine="0" w:firstLineChars="0"/>
              <w:jc w:val="center"/>
              <w:textAlignment w:val="auto"/>
              <w:rPr>
                <w:snapToGrid/>
                <w:color w:val="000000"/>
                <w:spacing w:val="0"/>
                <w:w w:val="100"/>
                <w:kern w:val="0"/>
                <w:position w:val="0"/>
                <w:sz w:val="28"/>
                <w:szCs w:val="28"/>
                <w:shd w:val="clear" w:color="auto" w:fill="auto"/>
              </w:rPr>
            </w:pPr>
            <w:r>
              <w:rPr>
                <w:snapToGrid/>
                <w:color w:val="000000"/>
                <w:spacing w:val="0"/>
                <w:w w:val="100"/>
                <w:kern w:val="0"/>
                <w:position w:val="0"/>
                <w:sz w:val="28"/>
                <w:szCs w:val="28"/>
                <w:shd w:val="clear" w:color="auto" w:fill="auto"/>
              </w:rPr>
              <w:t>当年累计</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22" w:lineRule="exact"/>
              <w:ind w:left="0" w:right="0" w:firstLine="0" w:firstLineChars="0"/>
              <w:jc w:val="center"/>
              <w:textAlignment w:val="auto"/>
              <w:rPr>
                <w:snapToGrid/>
                <w:kern w:val="0"/>
                <w:sz w:val="28"/>
                <w:szCs w:val="28"/>
              </w:rPr>
            </w:pPr>
            <w:r>
              <w:rPr>
                <w:snapToGrid/>
                <w:color w:val="000000"/>
                <w:spacing w:val="0"/>
                <w:w w:val="100"/>
                <w:kern w:val="0"/>
                <w:position w:val="0"/>
                <w:sz w:val="28"/>
                <w:szCs w:val="28"/>
                <w:shd w:val="clear" w:color="auto" w:fill="auto"/>
              </w:rPr>
              <w:t>培训学生数</w:t>
            </w:r>
          </w:p>
        </w:tc>
        <w:tc>
          <w:tcPr>
            <w:tcW w:w="1867"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823" w:hRule="exact"/>
          <w:jc w:val="center"/>
        </w:trPr>
        <w:tc>
          <w:tcPr>
            <w:tcW w:w="4561"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eastAsia="仿宋_GB2312"/>
                <w:lang w:eastAsia="zh-CN"/>
              </w:rPr>
            </w:pPr>
            <w:r>
              <w:rPr>
                <w:rFonts w:hint="eastAsia" w:ascii="宋体" w:hAnsi="宋体" w:eastAsia="宋体" w:cs="宋体"/>
                <w:snapToGrid/>
                <w:color w:val="000000"/>
                <w:spacing w:val="0"/>
                <w:w w:val="100"/>
                <w:kern w:val="0"/>
                <w:position w:val="0"/>
                <w:sz w:val="26"/>
                <w:szCs w:val="26"/>
                <w:u w:val="none"/>
                <w:shd w:val="clear" w:color="auto" w:fill="auto"/>
                <w:lang w:val="zh-CN" w:eastAsia="zh-CN" w:bidi="zh-CN"/>
              </w:rPr>
              <w:t>营业执照（或事业单位法人证书、民办非企业单位登记证书）社会信用代码</w:t>
            </w:r>
          </w:p>
        </w:tc>
        <w:tc>
          <w:tcPr>
            <w:tcW w:w="4361" w:type="dxa"/>
            <w:gridSpan w:val="4"/>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240" w:lineRule="auto"/>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3778" w:hRule="exact"/>
          <w:jc w:val="center"/>
        </w:trPr>
        <w:tc>
          <w:tcPr>
            <w:tcW w:w="1654"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17" w:lineRule="exact"/>
              <w:ind w:left="0" w:right="0" w:firstLine="0" w:firstLineChars="0"/>
              <w:jc w:val="center"/>
              <w:textAlignment w:val="auto"/>
              <w:rPr>
                <w:snapToGrid/>
                <w:color w:val="000000"/>
                <w:spacing w:val="0"/>
                <w:w w:val="100"/>
                <w:kern w:val="0"/>
                <w:position w:val="0"/>
                <w:sz w:val="28"/>
                <w:szCs w:val="28"/>
                <w:shd w:val="clear" w:color="auto" w:fill="auto"/>
              </w:rPr>
            </w:pPr>
            <w:r>
              <w:rPr>
                <w:snapToGrid/>
                <w:color w:val="000000"/>
                <w:spacing w:val="0"/>
                <w:w w:val="100"/>
                <w:kern w:val="0"/>
                <w:position w:val="0"/>
                <w:sz w:val="28"/>
                <w:szCs w:val="28"/>
                <w:shd w:val="clear" w:color="auto" w:fill="auto"/>
              </w:rPr>
              <w:t>申报条件</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17" w:lineRule="exact"/>
              <w:ind w:left="0" w:right="0" w:firstLine="0" w:firstLineChars="0"/>
              <w:jc w:val="center"/>
              <w:textAlignment w:val="auto"/>
              <w:rPr>
                <w:snapToGrid/>
                <w:kern w:val="0"/>
                <w:sz w:val="28"/>
                <w:szCs w:val="28"/>
              </w:rPr>
            </w:pPr>
            <w:r>
              <w:rPr>
                <w:snapToGrid/>
                <w:color w:val="000000"/>
                <w:spacing w:val="0"/>
                <w:w w:val="100"/>
                <w:kern w:val="0"/>
                <w:position w:val="0"/>
                <w:sz w:val="28"/>
                <w:szCs w:val="28"/>
                <w:shd w:val="clear" w:color="auto" w:fill="auto"/>
              </w:rPr>
              <w:t>自述</w:t>
            </w:r>
          </w:p>
        </w:tc>
        <w:tc>
          <w:tcPr>
            <w:tcW w:w="7268" w:type="dxa"/>
            <w:gridSpan w:val="7"/>
            <w:tcBorders>
              <w:top w:val="single" w:color="auto" w:sz="4" w:space="0"/>
              <w:left w:val="single" w:color="auto" w:sz="4" w:space="0"/>
              <w:bottom w:val="single" w:color="auto" w:sz="4" w:space="0"/>
              <w:right w:val="single" w:color="auto" w:sz="4" w:space="0"/>
            </w:tcBorders>
            <w:shd w:val="clear" w:color="auto" w:fill="FFFFFF"/>
            <w:noWrap w:val="0"/>
            <w:vAlign w:val="bottom"/>
          </w:tcPr>
          <w:p>
            <w:pPr>
              <w:keepNext w:val="0"/>
              <w:keepLines w:val="0"/>
              <w:pageBreakBefore w:val="0"/>
              <w:widowControl w:val="0"/>
              <w:kinsoku/>
              <w:wordWrap w:val="0"/>
              <w:overflowPunct/>
              <w:topLinePunct w:val="0"/>
              <w:autoSpaceDE/>
              <w:autoSpaceDN/>
              <w:bidi w:val="0"/>
              <w:adjustRightInd w:val="0"/>
              <w:snapToGrid w:val="0"/>
              <w:spacing w:line="240" w:lineRule="auto"/>
              <w:jc w:val="right"/>
              <w:textAlignment w:val="auto"/>
              <w:rPr>
                <w:rFonts w:hint="default"/>
                <w:lang w:val="en-US" w:eastAsia="zh-CN"/>
              </w:rPr>
            </w:pPr>
            <w:r>
              <w:rPr>
                <w:rFonts w:hint="eastAsia" w:eastAsia="仿宋_GB2312"/>
                <w:lang w:eastAsia="zh-CN"/>
              </w:rPr>
              <w:t>举办者（签字或盖章）</w:t>
            </w:r>
            <w:r>
              <w:rPr>
                <w:rFonts w:hint="eastAsia" w:ascii="Calibri" w:eastAsia="仿宋_GB2312"/>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240" w:lineRule="auto"/>
              <w:jc w:val="right"/>
              <w:textAlignment w:val="auto"/>
              <w:rPr>
                <w:rFonts w:hint="eastAsia"/>
                <w:lang w:eastAsia="zh-CN"/>
              </w:rPr>
            </w:pPr>
            <w:r>
              <w:rPr>
                <w:rFonts w:hint="eastAsia" w:eastAsia="仿宋_GB2312"/>
                <w:lang w:eastAsia="zh-CN"/>
              </w:rPr>
              <w:t>年</w:t>
            </w:r>
            <w:r>
              <w:rPr>
                <w:rFonts w:hint="eastAsia" w:ascii="Calibri" w:eastAsia="仿宋_GB2312"/>
                <w:lang w:val="en-US" w:eastAsia="zh-CN"/>
              </w:rPr>
              <w:t xml:space="preserve">   </w:t>
            </w:r>
            <w:r>
              <w:rPr>
                <w:rFonts w:hint="eastAsia" w:eastAsia="仿宋_GB2312"/>
                <w:lang w:eastAsia="zh-CN"/>
              </w:rPr>
              <w:t>月</w:t>
            </w:r>
            <w:r>
              <w:rPr>
                <w:rFonts w:hint="eastAsia" w:ascii="Calibri" w:eastAsia="仿宋_GB2312"/>
                <w:lang w:val="en-US" w:eastAsia="zh-CN"/>
              </w:rPr>
              <w:t xml:space="preserve">   </w:t>
            </w:r>
            <w:r>
              <w:rPr>
                <w:rFonts w:hint="eastAsia" w:eastAsia="仿宋_GB2312"/>
                <w:lang w:eastAsia="zh-CN"/>
              </w:rPr>
              <w:t>日</w:t>
            </w:r>
          </w:p>
        </w:tc>
      </w:tr>
      <w:tr>
        <w:tblPrEx>
          <w:tblCellMar>
            <w:top w:w="0" w:type="dxa"/>
            <w:left w:w="10" w:type="dxa"/>
            <w:bottom w:w="0" w:type="dxa"/>
            <w:right w:w="10" w:type="dxa"/>
          </w:tblCellMar>
        </w:tblPrEx>
        <w:trPr>
          <w:trHeight w:val="1638" w:hRule="exact"/>
          <w:jc w:val="center"/>
        </w:trPr>
        <w:tc>
          <w:tcPr>
            <w:tcW w:w="1654"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17" w:lineRule="exact"/>
              <w:ind w:left="0" w:right="0" w:firstLine="0" w:firstLineChars="0"/>
              <w:jc w:val="center"/>
              <w:textAlignment w:val="auto"/>
              <w:rPr>
                <w:rFonts w:hint="eastAsia" w:eastAsia="宋体"/>
                <w:snapToGrid/>
                <w:color w:val="000000"/>
                <w:spacing w:val="0"/>
                <w:w w:val="100"/>
                <w:kern w:val="0"/>
                <w:position w:val="0"/>
                <w:sz w:val="28"/>
                <w:szCs w:val="28"/>
                <w:shd w:val="clear" w:color="auto" w:fill="auto"/>
                <w:lang w:eastAsia="zh-CN"/>
              </w:rPr>
            </w:pPr>
            <w:r>
              <w:rPr>
                <w:rFonts w:hint="eastAsia"/>
                <w:snapToGrid/>
                <w:color w:val="000000"/>
                <w:spacing w:val="0"/>
                <w:w w:val="100"/>
                <w:kern w:val="0"/>
                <w:position w:val="0"/>
                <w:sz w:val="28"/>
                <w:szCs w:val="28"/>
                <w:shd w:val="clear" w:color="auto" w:fill="auto"/>
                <w:lang w:eastAsia="zh-CN"/>
              </w:rPr>
              <w:t>县（市）区教体育意见</w:t>
            </w:r>
          </w:p>
        </w:tc>
        <w:tc>
          <w:tcPr>
            <w:tcW w:w="7268" w:type="dxa"/>
            <w:gridSpan w:val="7"/>
            <w:tcBorders>
              <w:top w:val="single" w:color="auto" w:sz="4" w:space="0"/>
              <w:left w:val="single" w:color="auto" w:sz="4" w:space="0"/>
              <w:bottom w:val="single" w:color="auto" w:sz="4" w:space="0"/>
              <w:right w:val="single" w:color="auto" w:sz="4" w:space="0"/>
            </w:tcBorders>
            <w:shd w:val="clear" w:color="auto" w:fill="FFFFFF"/>
            <w:noWrap w:val="0"/>
            <w:vAlign w:val="bottom"/>
          </w:tcPr>
          <w:p>
            <w:pPr>
              <w:keepNext w:val="0"/>
              <w:keepLines w:val="0"/>
              <w:pageBreakBefore w:val="0"/>
              <w:widowControl w:val="0"/>
              <w:kinsoku/>
              <w:wordWrap/>
              <w:overflowPunct/>
              <w:topLinePunct w:val="0"/>
              <w:autoSpaceDE/>
              <w:autoSpaceDN/>
              <w:bidi w:val="0"/>
              <w:adjustRightInd w:val="0"/>
              <w:snapToGrid w:val="0"/>
              <w:spacing w:line="400" w:lineRule="exact"/>
              <w:jc w:val="right"/>
              <w:textAlignment w:val="auto"/>
              <w:rPr>
                <w:rFonts w:hint="eastAsia"/>
                <w:sz w:val="28"/>
                <w:szCs w:val="28"/>
                <w:lang w:eastAsia="zh-CN"/>
              </w:rPr>
            </w:pPr>
            <w:r>
              <w:rPr>
                <w:rFonts w:hint="eastAsia" w:eastAsia="仿宋_GB2312"/>
                <w:sz w:val="28"/>
                <w:szCs w:val="28"/>
                <w:lang w:eastAsia="zh-CN"/>
              </w:rPr>
              <w:t>县（市）区教体局（盖章）</w:t>
            </w:r>
          </w:p>
          <w:p>
            <w:pPr>
              <w:keepNext w:val="0"/>
              <w:keepLines w:val="0"/>
              <w:pageBreakBefore w:val="0"/>
              <w:widowControl w:val="0"/>
              <w:kinsoku/>
              <w:wordWrap/>
              <w:overflowPunct/>
              <w:topLinePunct w:val="0"/>
              <w:autoSpaceDE/>
              <w:autoSpaceDN/>
              <w:bidi w:val="0"/>
              <w:adjustRightInd w:val="0"/>
              <w:snapToGrid w:val="0"/>
              <w:spacing w:line="400" w:lineRule="exact"/>
              <w:jc w:val="right"/>
              <w:textAlignment w:val="auto"/>
              <w:rPr>
                <w:rFonts w:hint="eastAsia"/>
                <w:sz w:val="28"/>
                <w:szCs w:val="28"/>
                <w:lang w:eastAsia="zh-CN"/>
              </w:rPr>
            </w:pPr>
            <w:r>
              <w:rPr>
                <w:rFonts w:hint="eastAsia" w:eastAsia="仿宋_GB2312"/>
                <w:sz w:val="28"/>
                <w:szCs w:val="28"/>
                <w:lang w:eastAsia="zh-CN"/>
              </w:rPr>
              <w:t>年</w:t>
            </w:r>
            <w:r>
              <w:rPr>
                <w:rFonts w:hint="eastAsia" w:ascii="Calibri" w:eastAsia="仿宋_GB2312"/>
                <w:sz w:val="28"/>
                <w:szCs w:val="28"/>
                <w:lang w:val="en-US" w:eastAsia="zh-CN"/>
              </w:rPr>
              <w:t xml:space="preserve">   </w:t>
            </w:r>
            <w:r>
              <w:rPr>
                <w:rFonts w:hint="eastAsia" w:eastAsia="仿宋_GB2312"/>
                <w:sz w:val="28"/>
                <w:szCs w:val="28"/>
                <w:lang w:eastAsia="zh-CN"/>
              </w:rPr>
              <w:t>月</w:t>
            </w:r>
            <w:r>
              <w:rPr>
                <w:rFonts w:hint="eastAsia" w:ascii="Calibri" w:eastAsia="仿宋_GB2312"/>
                <w:sz w:val="28"/>
                <w:szCs w:val="28"/>
                <w:lang w:val="en-US" w:eastAsia="zh-CN"/>
              </w:rPr>
              <w:t xml:space="preserve">   </w:t>
            </w:r>
            <w:r>
              <w:rPr>
                <w:rFonts w:hint="eastAsia" w:eastAsia="仿宋_GB2312"/>
                <w:sz w:val="28"/>
                <w:szCs w:val="28"/>
                <w:lang w:eastAsia="zh-CN"/>
              </w:rPr>
              <w:t>日</w:t>
            </w:r>
          </w:p>
        </w:tc>
      </w:tr>
    </w:tbl>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1" w:lineRule="exact"/>
        <w:ind w:left="0" w:right="0" w:firstLine="0" w:firstLineChars="0"/>
        <w:jc w:val="center"/>
        <w:textAlignment w:val="auto"/>
        <w:rPr>
          <w:rFonts w:ascii="Microsoft JhengHei Light" w:hAnsi="Microsoft JhengHei Light" w:eastAsia="Microsoft JhengHei Light" w:cs="Microsoft JhengHei Light"/>
          <w:snapToGrid/>
          <w:color w:val="000000"/>
          <w:spacing w:val="0"/>
          <w:w w:val="100"/>
          <w:kern w:val="0"/>
          <w:position w:val="0"/>
          <w:sz w:val="2"/>
          <w:szCs w:val="2"/>
          <w:shd w:val="clear" w:color="auto" w:fill="auto"/>
          <w:lang w:eastAsia="en-US" w:bidi="en-US"/>
        </w:rPr>
      </w:pPr>
      <w:r>
        <w:rPr>
          <w:rFonts w:ascii="Microsoft JhengHei Light" w:hAnsi="Microsoft JhengHei Light" w:eastAsia="Microsoft JhengHei Light" w:cs="Microsoft JhengHei Light"/>
          <w:snapToGrid/>
          <w:color w:val="000000"/>
          <w:spacing w:val="0"/>
          <w:w w:val="100"/>
          <w:kern w:val="0"/>
          <w:position w:val="0"/>
          <w:sz w:val="24"/>
          <w:szCs w:val="24"/>
          <w:shd w:val="clear" w:color="auto" w:fill="auto"/>
          <w:lang w:eastAsia="en-US" w:bidi="en-US"/>
        </w:rPr>
        <w:br w:type="page"/>
      </w:r>
    </w:p>
    <w:p>
      <w:pPr>
        <w:pStyle w:val="9"/>
        <w:keepNext w:val="0"/>
        <w:keepLines w:val="0"/>
        <w:widowControl w:val="0"/>
        <w:shd w:val="clear" w:color="auto" w:fill="auto"/>
        <w:bidi w:val="0"/>
        <w:adjustRightInd/>
        <w:snapToGrid/>
        <w:spacing w:before="0" w:beforeLines="0" w:after="420" w:afterLines="0" w:line="240" w:lineRule="auto"/>
        <w:ind w:left="0" w:leftChars="0" w:right="0" w:firstLine="0" w:firstLineChars="0"/>
        <w:jc w:val="left"/>
        <w:rPr>
          <w:rFonts w:hint="eastAsia" w:ascii="黑体" w:hAnsi="黑体" w:eastAsia="黑体" w:cs="黑体"/>
          <w:snapToGrid/>
          <w:kern w:val="0"/>
          <w:lang w:val="en-US" w:eastAsia="zh-CN"/>
        </w:rPr>
      </w:pPr>
      <w:r>
        <w:rPr>
          <w:rFonts w:hint="eastAsia" w:ascii="黑体" w:hAnsi="黑体" w:eastAsia="黑体" w:cs="黑体"/>
          <w:b w:val="0"/>
          <w:bCs w:val="0"/>
          <w:snapToGrid/>
          <w:color w:val="000000"/>
          <w:spacing w:val="0"/>
          <w:w w:val="100"/>
          <w:kern w:val="0"/>
          <w:position w:val="0"/>
          <w:shd w:val="clear" w:color="auto" w:fill="auto"/>
        </w:rPr>
        <w:t>附件</w:t>
      </w:r>
      <w:r>
        <w:rPr>
          <w:rFonts w:hint="eastAsia" w:ascii="黑体" w:hAnsi="黑体" w:eastAsia="黑体" w:cs="黑体"/>
          <w:b w:val="0"/>
          <w:bCs w:val="0"/>
          <w:snapToGrid/>
          <w:color w:val="000000"/>
          <w:spacing w:val="0"/>
          <w:w w:val="100"/>
          <w:kern w:val="0"/>
          <w:position w:val="0"/>
          <w:shd w:val="clear" w:color="auto" w:fill="auto"/>
          <w:lang w:val="en-US" w:eastAsia="zh-CN"/>
        </w:rPr>
        <w:t>2</w:t>
      </w:r>
    </w:p>
    <w:p>
      <w:pPr>
        <w:pStyle w:val="7"/>
        <w:keepNext/>
        <w:keepLines/>
        <w:pageBreakBefore w:val="0"/>
        <w:widowControl w:val="0"/>
        <w:shd w:val="clear" w:color="auto" w:fill="auto"/>
        <w:kinsoku/>
        <w:wordWrap/>
        <w:overflowPunct/>
        <w:topLinePunct w:val="0"/>
        <w:autoSpaceDE/>
        <w:autoSpaceDN/>
        <w:bidi w:val="0"/>
        <w:adjustRightInd/>
        <w:snapToGrid/>
        <w:spacing w:before="0" w:beforeLines="0" w:after="480" w:afterLines="0" w:line="500" w:lineRule="exact"/>
        <w:ind w:left="0" w:right="0" w:firstLine="0" w:firstLineChars="0"/>
        <w:jc w:val="center"/>
        <w:textAlignment w:val="auto"/>
        <w:rPr>
          <w:snapToGrid/>
          <w:kern w:val="0"/>
        </w:rPr>
      </w:pPr>
      <w:bookmarkStart w:id="2" w:name="bookmark6"/>
      <w:bookmarkStart w:id="3" w:name="bookmark7"/>
      <w:r>
        <w:rPr>
          <w:rFonts w:hint="eastAsia"/>
          <w:snapToGrid/>
          <w:color w:val="000000"/>
          <w:spacing w:val="0"/>
          <w:w w:val="100"/>
          <w:kern w:val="0"/>
          <w:position w:val="0"/>
          <w:shd w:val="clear" w:color="auto" w:fill="auto"/>
          <w:lang w:eastAsia="zh-CN"/>
        </w:rPr>
        <w:t>平顶山市</w:t>
      </w:r>
      <w:r>
        <w:rPr>
          <w:snapToGrid/>
          <w:color w:val="000000"/>
          <w:spacing w:val="0"/>
          <w:w w:val="100"/>
          <w:kern w:val="0"/>
          <w:position w:val="0"/>
          <w:shd w:val="clear" w:color="auto" w:fill="auto"/>
        </w:rPr>
        <w:t>校外培训机构星级评定标准</w:t>
      </w:r>
      <w:bookmarkEnd w:id="2"/>
      <w:bookmarkEnd w:id="3"/>
    </w:p>
    <w:tbl>
      <w:tblPr>
        <w:tblStyle w:val="5"/>
        <w:tblW w:w="0" w:type="auto"/>
        <w:jc w:val="center"/>
        <w:tblLayout w:type="fixed"/>
        <w:tblCellMar>
          <w:top w:w="0" w:type="dxa"/>
          <w:left w:w="10" w:type="dxa"/>
          <w:bottom w:w="0" w:type="dxa"/>
          <w:right w:w="10" w:type="dxa"/>
        </w:tblCellMar>
      </w:tblPr>
      <w:tblGrid>
        <w:gridCol w:w="744"/>
        <w:gridCol w:w="607"/>
        <w:gridCol w:w="862"/>
        <w:gridCol w:w="4872"/>
        <w:gridCol w:w="2081"/>
        <w:gridCol w:w="477"/>
      </w:tblGrid>
      <w:tr>
        <w:tblPrEx>
          <w:tblCellMar>
            <w:top w:w="0" w:type="dxa"/>
            <w:left w:w="10" w:type="dxa"/>
            <w:bottom w:w="0" w:type="dxa"/>
            <w:right w:w="10" w:type="dxa"/>
          </w:tblCellMar>
        </w:tblPrEx>
        <w:trPr>
          <w:trHeight w:val="884" w:hRule="exact"/>
          <w:jc w:val="center"/>
        </w:trPr>
        <w:tc>
          <w:tcPr>
            <w:tcW w:w="744"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一级</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指标</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分值</w:t>
            </w:r>
          </w:p>
        </w:tc>
        <w:tc>
          <w:tcPr>
            <w:tcW w:w="607"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二级</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指标</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分值</w:t>
            </w:r>
          </w:p>
        </w:tc>
        <w:tc>
          <w:tcPr>
            <w:tcW w:w="86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三级</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指标</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分值</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三级指标评估内涵</w:t>
            </w:r>
          </w:p>
        </w:tc>
        <w:tc>
          <w:tcPr>
            <w:tcW w:w="2081"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评分说明</w:t>
            </w:r>
          </w:p>
        </w:tc>
        <w:tc>
          <w:tcPr>
            <w:tcW w:w="477" w:type="dxa"/>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得</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分</w:t>
            </w:r>
          </w:p>
        </w:tc>
      </w:tr>
      <w:tr>
        <w:tblPrEx>
          <w:tblCellMar>
            <w:top w:w="0" w:type="dxa"/>
            <w:left w:w="10" w:type="dxa"/>
            <w:bottom w:w="0" w:type="dxa"/>
            <w:right w:w="10" w:type="dxa"/>
          </w:tblCellMar>
        </w:tblPrEx>
        <w:trPr>
          <w:trHeight w:val="2022" w:hRule="exact"/>
          <w:jc w:val="center"/>
        </w:trPr>
        <w:tc>
          <w:tcPr>
            <w:tcW w:w="744"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8"/>
                <w:szCs w:val="48"/>
                <w:shd w:val="clear" w:color="auto" w:fill="auto"/>
              </w:rPr>
            </w:pPr>
            <w:r>
              <w:rPr>
                <w:rFonts w:hint="default" w:ascii="Times New Roman" w:hAnsi="Times New Roman" w:eastAsia="仿宋_GB2312" w:cs="Times New Roman"/>
                <w:b w:val="0"/>
                <w:bCs w:val="0"/>
                <w:snapToGrid/>
                <w:color w:val="000000"/>
                <w:spacing w:val="0"/>
                <w:w w:val="100"/>
                <w:kern w:val="0"/>
                <w:position w:val="0"/>
                <w:sz w:val="48"/>
                <w:szCs w:val="48"/>
                <w:shd w:val="clear" w:color="auto" w:fill="auto"/>
              </w:rPr>
              <w:t>办</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8"/>
                <w:szCs w:val="48"/>
                <w:shd w:val="clear" w:color="auto" w:fill="auto"/>
              </w:rPr>
            </w:pPr>
            <w:r>
              <w:rPr>
                <w:rFonts w:hint="default" w:ascii="Times New Roman" w:hAnsi="Times New Roman" w:eastAsia="仿宋_GB2312" w:cs="Times New Roman"/>
                <w:b w:val="0"/>
                <w:bCs w:val="0"/>
                <w:snapToGrid/>
                <w:color w:val="000000"/>
                <w:spacing w:val="0"/>
                <w:w w:val="100"/>
                <w:kern w:val="0"/>
                <w:position w:val="0"/>
                <w:sz w:val="48"/>
                <w:szCs w:val="48"/>
                <w:shd w:val="clear" w:color="auto" w:fill="auto"/>
              </w:rPr>
              <w:t>学</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8"/>
                <w:szCs w:val="48"/>
                <w:shd w:val="clear" w:color="auto" w:fill="auto"/>
              </w:rPr>
            </w:pPr>
            <w:r>
              <w:rPr>
                <w:rFonts w:hint="default" w:ascii="Times New Roman" w:hAnsi="Times New Roman" w:eastAsia="仿宋_GB2312" w:cs="Times New Roman"/>
                <w:b w:val="0"/>
                <w:bCs w:val="0"/>
                <w:snapToGrid/>
                <w:color w:val="000000"/>
                <w:spacing w:val="0"/>
                <w:w w:val="100"/>
                <w:kern w:val="0"/>
                <w:position w:val="0"/>
                <w:sz w:val="48"/>
                <w:szCs w:val="48"/>
                <w:shd w:val="clear" w:color="auto" w:fill="auto"/>
              </w:rPr>
              <w:t>方</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b w:val="0"/>
                <w:bCs w:val="0"/>
                <w:snapToGrid/>
                <w:color w:val="000000"/>
                <w:spacing w:val="0"/>
                <w:w w:val="100"/>
                <w:kern w:val="0"/>
                <w:position w:val="0"/>
                <w:sz w:val="48"/>
                <w:szCs w:val="48"/>
                <w:shd w:val="clear" w:color="auto" w:fill="auto"/>
              </w:rPr>
              <w:t>向</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8"/>
                <w:szCs w:val="28"/>
                <w:shd w:val="clear" w:color="auto" w:fill="auto"/>
              </w:rPr>
              <w:t>22分</w:t>
            </w:r>
          </w:p>
        </w:tc>
        <w:tc>
          <w:tcPr>
            <w:tcW w:w="607"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pPr>
            <w:r>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t>指</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pPr>
            <w:r>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t>导</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思</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想</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t>6</w:t>
            </w:r>
            <w:r>
              <w:rPr>
                <w:rFonts w:hint="default" w:ascii="Times New Roman" w:hAnsi="Times New Roman" w:eastAsia="仿宋_GB2312" w:cs="Times New Roman"/>
                <w:snapToGrid/>
                <w:color w:val="000000"/>
                <w:spacing w:val="0"/>
                <w:w w:val="100"/>
                <w:kern w:val="0"/>
                <w:position w:val="0"/>
                <w:sz w:val="22"/>
                <w:szCs w:val="22"/>
                <w:shd w:val="clear" w:color="auto" w:fill="auto"/>
              </w:rPr>
              <w:t>分</w:t>
            </w:r>
          </w:p>
        </w:tc>
        <w:tc>
          <w:tcPr>
            <w:tcW w:w="86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★办学</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宗旨</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t>3</w:t>
            </w:r>
            <w:r>
              <w:rPr>
                <w:rFonts w:hint="default" w:ascii="Times New Roman" w:hAnsi="Times New Roman" w:eastAsia="仿宋_GB2312" w:cs="Times New Roman"/>
                <w:snapToGrid/>
                <w:color w:val="000000"/>
                <w:spacing w:val="0"/>
                <w:w w:val="100"/>
                <w:kern w:val="0"/>
                <w:position w:val="0"/>
                <w:sz w:val="22"/>
                <w:szCs w:val="22"/>
                <w:shd w:val="clear" w:color="auto" w:fill="auto"/>
              </w:rPr>
              <w:t>分</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学习贯彻民办教育</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相关</w:t>
            </w:r>
            <w:r>
              <w:rPr>
                <w:rFonts w:hint="default" w:ascii="Times New Roman" w:hAnsi="Times New Roman" w:eastAsia="仿宋_GB2312" w:cs="Times New Roman"/>
                <w:snapToGrid/>
                <w:color w:val="000000"/>
                <w:spacing w:val="0"/>
                <w:w w:val="100"/>
                <w:kern w:val="0"/>
                <w:position w:val="0"/>
                <w:sz w:val="22"/>
                <w:szCs w:val="22"/>
                <w:shd w:val="clear" w:color="auto" w:fill="auto"/>
              </w:rPr>
              <w:t>法律法规，办学宗旨明确，坚持社会主义办学方向和公益性质，全面贯彻教育方针，落实立德树人，实施素质教育，满足个性化需求。</w:t>
            </w:r>
          </w:p>
        </w:tc>
        <w:tc>
          <w:tcPr>
            <w:tcW w:w="2081"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培训机构负责人熟知民办教育</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相关</w:t>
            </w:r>
            <w:r>
              <w:rPr>
                <w:rFonts w:hint="default" w:ascii="Times New Roman" w:hAnsi="Times New Roman" w:eastAsia="仿宋_GB2312" w:cs="Times New Roman"/>
                <w:snapToGrid/>
                <w:color w:val="000000"/>
                <w:spacing w:val="0"/>
                <w:w w:val="100"/>
                <w:kern w:val="0"/>
                <w:position w:val="0"/>
                <w:sz w:val="22"/>
                <w:szCs w:val="22"/>
                <w:shd w:val="clear" w:color="auto" w:fill="auto"/>
              </w:rPr>
              <w:t>法律法规，贯彻党和国家教育方针，坚持社会主义办学方向，达标得</w:t>
            </w:r>
            <w:r>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t>3</w:t>
            </w:r>
            <w:r>
              <w:rPr>
                <w:rFonts w:hint="default" w:ascii="Times New Roman" w:hAnsi="Times New Roman" w:eastAsia="仿宋_GB2312" w:cs="Times New Roman"/>
                <w:snapToGrid/>
                <w:color w:val="000000"/>
                <w:spacing w:val="0"/>
                <w:w w:val="100"/>
                <w:kern w:val="0"/>
                <w:position w:val="0"/>
                <w:sz w:val="22"/>
                <w:szCs w:val="22"/>
                <w:shd w:val="clear" w:color="auto" w:fill="auto"/>
              </w:rPr>
              <w:t>分，不达标得0分。</w:t>
            </w:r>
          </w:p>
        </w:tc>
        <w:tc>
          <w:tcPr>
            <w:tcW w:w="47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3"/>
                <w:szCs w:val="13"/>
                <w:shd w:val="clear" w:color="auto" w:fill="auto"/>
                <w:lang w:eastAsia="en-US" w:bidi="en-US"/>
              </w:rPr>
            </w:pPr>
          </w:p>
        </w:tc>
      </w:tr>
      <w:tr>
        <w:tblPrEx>
          <w:tblCellMar>
            <w:top w:w="0" w:type="dxa"/>
            <w:left w:w="10" w:type="dxa"/>
            <w:bottom w:w="0" w:type="dxa"/>
            <w:right w:w="10" w:type="dxa"/>
          </w:tblCellMar>
        </w:tblPrEx>
        <w:trPr>
          <w:trHeight w:val="1114" w:hRule="exact"/>
          <w:jc w:val="center"/>
        </w:trPr>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32"/>
                <w:szCs w:val="32"/>
                <w:shd w:val="clear" w:color="auto" w:fill="auto"/>
                <w:lang w:eastAsia="en-US" w:bidi="en-US"/>
              </w:rPr>
            </w:pPr>
          </w:p>
        </w:tc>
        <w:tc>
          <w:tcPr>
            <w:tcW w:w="607"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32"/>
                <w:szCs w:val="32"/>
                <w:shd w:val="clear" w:color="auto" w:fill="auto"/>
                <w:lang w:eastAsia="en-US" w:bidi="en-US"/>
              </w:rPr>
            </w:pPr>
          </w:p>
        </w:tc>
        <w:tc>
          <w:tcPr>
            <w:tcW w:w="86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办学</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pPr>
            <w:r>
              <w:rPr>
                <w:rFonts w:hint="default" w:ascii="Times New Roman" w:hAnsi="Times New Roman" w:eastAsia="仿宋_GB2312" w:cs="Times New Roman"/>
                <w:snapToGrid/>
                <w:color w:val="000000"/>
                <w:spacing w:val="0"/>
                <w:w w:val="100"/>
                <w:kern w:val="0"/>
                <w:position w:val="0"/>
                <w:sz w:val="22"/>
                <w:szCs w:val="22"/>
                <w:shd w:val="clear" w:color="auto" w:fill="auto"/>
              </w:rPr>
              <w:t>目标</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t>3</w:t>
            </w:r>
            <w:r>
              <w:rPr>
                <w:rFonts w:hint="default" w:ascii="Times New Roman" w:hAnsi="Times New Roman" w:eastAsia="仿宋_GB2312" w:cs="Times New Roman"/>
                <w:snapToGrid/>
                <w:color w:val="000000"/>
                <w:spacing w:val="0"/>
                <w:w w:val="100"/>
                <w:kern w:val="0"/>
                <w:position w:val="0"/>
                <w:sz w:val="22"/>
                <w:szCs w:val="22"/>
                <w:shd w:val="clear" w:color="auto" w:fill="auto"/>
              </w:rPr>
              <w:t>分</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办学目标明确，有教学</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区</w:t>
            </w:r>
            <w:r>
              <w:rPr>
                <w:rFonts w:hint="default" w:ascii="Times New Roman" w:hAnsi="Times New Roman" w:eastAsia="仿宋_GB2312" w:cs="Times New Roman"/>
                <w:snapToGrid/>
                <w:color w:val="000000"/>
                <w:spacing w:val="0"/>
                <w:w w:val="100"/>
                <w:kern w:val="0"/>
                <w:position w:val="0"/>
                <w:sz w:val="22"/>
                <w:szCs w:val="22"/>
                <w:shd w:val="clear" w:color="auto" w:fill="auto"/>
              </w:rPr>
              <w:t>年度或学期教育教学工作计划及工作总结，促进学生德智体美劳全面发展为目标。</w:t>
            </w:r>
          </w:p>
        </w:tc>
        <w:tc>
          <w:tcPr>
            <w:tcW w:w="2081"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lang w:eastAsia="zh-CN"/>
              </w:rPr>
            </w:pPr>
            <w:r>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t>全部</w:t>
            </w:r>
            <w:r>
              <w:rPr>
                <w:rFonts w:hint="default" w:ascii="Times New Roman" w:hAnsi="Times New Roman" w:eastAsia="仿宋_GB2312" w:cs="Times New Roman"/>
                <w:snapToGrid/>
                <w:color w:val="000000"/>
                <w:spacing w:val="0"/>
                <w:w w:val="100"/>
                <w:kern w:val="0"/>
                <w:position w:val="0"/>
                <w:sz w:val="22"/>
                <w:szCs w:val="22"/>
                <w:shd w:val="clear" w:color="auto" w:fill="auto"/>
              </w:rPr>
              <w:t>落实得</w:t>
            </w:r>
            <w:r>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t>3</w:t>
            </w:r>
            <w:r>
              <w:rPr>
                <w:rFonts w:hint="default" w:ascii="Times New Roman" w:hAnsi="Times New Roman" w:eastAsia="仿宋_GB2312" w:cs="Times New Roman"/>
                <w:snapToGrid/>
                <w:color w:val="000000"/>
                <w:spacing w:val="0"/>
                <w:w w:val="100"/>
                <w:kern w:val="0"/>
                <w:position w:val="0"/>
                <w:sz w:val="22"/>
                <w:szCs w:val="22"/>
                <w:shd w:val="clear" w:color="auto" w:fill="auto"/>
              </w:rPr>
              <w:t>分；未能落实计划和目标不明确的各扣1分</w:t>
            </w:r>
            <w:r>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t>，扣完为止。</w:t>
            </w:r>
          </w:p>
        </w:tc>
        <w:tc>
          <w:tcPr>
            <w:tcW w:w="47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3"/>
                <w:szCs w:val="13"/>
                <w:shd w:val="clear" w:color="auto" w:fill="auto"/>
                <w:lang w:eastAsia="en-US" w:bidi="en-US"/>
              </w:rPr>
            </w:pPr>
          </w:p>
        </w:tc>
      </w:tr>
      <w:tr>
        <w:tblPrEx>
          <w:tblCellMar>
            <w:top w:w="0" w:type="dxa"/>
            <w:left w:w="10" w:type="dxa"/>
            <w:bottom w:w="0" w:type="dxa"/>
            <w:right w:w="10" w:type="dxa"/>
          </w:tblCellMar>
        </w:tblPrEx>
        <w:trPr>
          <w:trHeight w:val="2586" w:hRule="exact"/>
          <w:jc w:val="center"/>
        </w:trPr>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32"/>
                <w:szCs w:val="32"/>
                <w:shd w:val="clear" w:color="auto" w:fill="auto"/>
                <w:lang w:eastAsia="en-US" w:bidi="en-US"/>
              </w:rPr>
            </w:pPr>
          </w:p>
        </w:tc>
        <w:tc>
          <w:tcPr>
            <w:tcW w:w="607"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基</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本</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要</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求</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t>16</w:t>
            </w:r>
            <w:r>
              <w:rPr>
                <w:rFonts w:hint="default" w:ascii="Times New Roman" w:hAnsi="Times New Roman" w:eastAsia="仿宋_GB2312" w:cs="Times New Roman"/>
                <w:snapToGrid/>
                <w:color w:val="000000"/>
                <w:spacing w:val="0"/>
                <w:w w:val="100"/>
                <w:kern w:val="0"/>
                <w:position w:val="0"/>
                <w:sz w:val="22"/>
                <w:szCs w:val="22"/>
                <w:shd w:val="clear" w:color="auto" w:fill="auto"/>
              </w:rPr>
              <w:t>分</w:t>
            </w:r>
          </w:p>
        </w:tc>
        <w:tc>
          <w:tcPr>
            <w:tcW w:w="86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★党的</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建设</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t>4</w:t>
            </w:r>
            <w:r>
              <w:rPr>
                <w:rFonts w:hint="default" w:ascii="Times New Roman" w:hAnsi="Times New Roman" w:eastAsia="仿宋_GB2312" w:cs="Times New Roman"/>
                <w:snapToGrid/>
                <w:color w:val="000000"/>
                <w:spacing w:val="0"/>
                <w:w w:val="100"/>
                <w:kern w:val="0"/>
                <w:position w:val="0"/>
                <w:sz w:val="22"/>
                <w:szCs w:val="22"/>
                <w:shd w:val="clear" w:color="auto" w:fill="auto"/>
              </w:rPr>
              <w:t>分</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1）宣传和执行党的路线、方针、政策，认真贯彻落实党中央、上级党组织和本级党组织的决议。（2）围绕机构中心任务，增强党组织的凝聚力和战斗力，充分发挥党支部的战斗堡垒作用和党员的先锋模范作用。（3）加强对党员的教育、管理和监督，提高党员素质，增强党性。</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4</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组织好政治理论、业务知识的学习，监督党员切实履行义务，保障党员权利不受侵犯。（5）对要求入党的积极分子进行培养，做好发展党员工作。</w:t>
            </w:r>
          </w:p>
        </w:tc>
        <w:tc>
          <w:tcPr>
            <w:tcW w:w="2081"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lang w:eastAsia="zh-CN"/>
              </w:rPr>
            </w:pPr>
            <w:r>
              <w:rPr>
                <w:rFonts w:hint="default" w:ascii="Times New Roman" w:hAnsi="Times New Roman" w:eastAsia="仿宋_GB2312" w:cs="Times New Roman"/>
                <w:snapToGrid/>
                <w:color w:val="000000"/>
                <w:spacing w:val="0"/>
                <w:w w:val="100"/>
                <w:kern w:val="0"/>
                <w:position w:val="0"/>
                <w:sz w:val="22"/>
                <w:szCs w:val="22"/>
                <w:shd w:val="clear" w:color="auto" w:fill="auto"/>
              </w:rPr>
              <w:t>组织健全，活动开展正常有序的得</w:t>
            </w:r>
            <w:r>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t>4</w:t>
            </w:r>
            <w:r>
              <w:rPr>
                <w:rFonts w:hint="default" w:ascii="Times New Roman" w:hAnsi="Times New Roman" w:eastAsia="仿宋_GB2312" w:cs="Times New Roman"/>
                <w:snapToGrid/>
                <w:color w:val="000000"/>
                <w:spacing w:val="0"/>
                <w:w w:val="100"/>
                <w:kern w:val="0"/>
                <w:position w:val="0"/>
                <w:sz w:val="22"/>
                <w:szCs w:val="22"/>
                <w:shd w:val="clear" w:color="auto" w:fill="auto"/>
              </w:rPr>
              <w:t>分，每缺一项扣1分</w:t>
            </w:r>
            <w:r>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t>，扣完为止。</w:t>
            </w:r>
          </w:p>
        </w:tc>
        <w:tc>
          <w:tcPr>
            <w:tcW w:w="47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3"/>
                <w:szCs w:val="13"/>
                <w:shd w:val="clear" w:color="auto" w:fill="auto"/>
                <w:lang w:eastAsia="en-US" w:bidi="en-US"/>
              </w:rPr>
            </w:pPr>
          </w:p>
        </w:tc>
      </w:tr>
      <w:tr>
        <w:tblPrEx>
          <w:tblCellMar>
            <w:top w:w="0" w:type="dxa"/>
            <w:left w:w="10" w:type="dxa"/>
            <w:bottom w:w="0" w:type="dxa"/>
            <w:right w:w="10" w:type="dxa"/>
          </w:tblCellMar>
        </w:tblPrEx>
        <w:trPr>
          <w:trHeight w:val="1394" w:hRule="exact"/>
          <w:jc w:val="center"/>
        </w:trPr>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32"/>
                <w:szCs w:val="32"/>
                <w:shd w:val="clear" w:color="auto" w:fill="auto"/>
                <w:lang w:eastAsia="en-US" w:bidi="en-US"/>
              </w:rPr>
            </w:pPr>
          </w:p>
        </w:tc>
        <w:tc>
          <w:tcPr>
            <w:tcW w:w="607"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32"/>
                <w:szCs w:val="32"/>
                <w:shd w:val="clear" w:color="auto" w:fill="auto"/>
                <w:lang w:eastAsia="en-US" w:bidi="en-US"/>
              </w:rPr>
            </w:pPr>
          </w:p>
        </w:tc>
        <w:tc>
          <w:tcPr>
            <w:tcW w:w="86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★法定</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资质</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4分</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right="0"/>
              <w:jc w:val="both"/>
              <w:textAlignment w:val="auto"/>
              <w:rPr>
                <w:rFonts w:hint="default" w:ascii="Times New Roman" w:hAnsi="Times New Roman" w:eastAsia="仿宋_GB2312" w:cs="Times New Roman"/>
                <w:snapToGrid/>
                <w:kern w:val="0"/>
                <w:sz w:val="22"/>
                <w:szCs w:val="22"/>
              </w:rPr>
            </w:pP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1</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办学许可证、营业执照或法人登记证等证照齐全。</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2</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举办者应为国家机构以外的社会组织或具有政治权利和完全民事行为能力的公民或组织。</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3</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取得办学许可证、营业执照/事业单位法人证书/民办非企业单位登记证书等。</w:t>
            </w:r>
          </w:p>
        </w:tc>
        <w:tc>
          <w:tcPr>
            <w:tcW w:w="2081"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证件齐全并在有效期内得4分，不符合条件得0分。</w:t>
            </w:r>
          </w:p>
        </w:tc>
        <w:tc>
          <w:tcPr>
            <w:tcW w:w="47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3"/>
                <w:szCs w:val="13"/>
                <w:shd w:val="clear" w:color="auto" w:fill="auto"/>
                <w:lang w:eastAsia="en-US" w:bidi="en-US"/>
              </w:rPr>
            </w:pPr>
          </w:p>
        </w:tc>
      </w:tr>
      <w:tr>
        <w:tblPrEx>
          <w:tblCellMar>
            <w:top w:w="0" w:type="dxa"/>
            <w:left w:w="10" w:type="dxa"/>
            <w:bottom w:w="0" w:type="dxa"/>
            <w:right w:w="10" w:type="dxa"/>
          </w:tblCellMar>
        </w:tblPrEx>
        <w:trPr>
          <w:trHeight w:val="915" w:hRule="exact"/>
          <w:jc w:val="center"/>
        </w:trPr>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32"/>
                <w:szCs w:val="32"/>
                <w:shd w:val="clear" w:color="auto" w:fill="auto"/>
                <w:lang w:eastAsia="en-US" w:bidi="en-US"/>
              </w:rPr>
            </w:pPr>
          </w:p>
        </w:tc>
        <w:tc>
          <w:tcPr>
            <w:tcW w:w="607"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32"/>
                <w:szCs w:val="32"/>
                <w:shd w:val="clear" w:color="auto" w:fill="auto"/>
                <w:lang w:eastAsia="en-US" w:bidi="en-US"/>
              </w:rPr>
            </w:pPr>
          </w:p>
        </w:tc>
        <w:tc>
          <w:tcPr>
            <w:tcW w:w="86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登记</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备案</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3分</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及时将招生简章和广告复印件报审批机关备案，无虚假不实的宣传。按时报送工作计划、总结和统计报表。</w:t>
            </w:r>
          </w:p>
        </w:tc>
        <w:tc>
          <w:tcPr>
            <w:tcW w:w="2081"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广告简章1分；课程备案1分；计划总结1分。</w:t>
            </w:r>
          </w:p>
        </w:tc>
        <w:tc>
          <w:tcPr>
            <w:tcW w:w="47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3"/>
                <w:szCs w:val="13"/>
                <w:shd w:val="clear" w:color="auto" w:fill="auto"/>
                <w:lang w:eastAsia="en-US" w:bidi="en-US"/>
              </w:rPr>
            </w:pPr>
          </w:p>
        </w:tc>
      </w:tr>
      <w:tr>
        <w:tblPrEx>
          <w:tblCellMar>
            <w:top w:w="0" w:type="dxa"/>
            <w:left w:w="10" w:type="dxa"/>
            <w:bottom w:w="0" w:type="dxa"/>
            <w:right w:w="10" w:type="dxa"/>
          </w:tblCellMar>
        </w:tblPrEx>
        <w:trPr>
          <w:trHeight w:val="960" w:hRule="exact"/>
          <w:jc w:val="center"/>
        </w:trPr>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32"/>
                <w:szCs w:val="32"/>
                <w:shd w:val="clear" w:color="auto" w:fill="auto"/>
                <w:lang w:eastAsia="en-US" w:bidi="en-US"/>
              </w:rPr>
            </w:pPr>
          </w:p>
        </w:tc>
        <w:tc>
          <w:tcPr>
            <w:tcW w:w="607"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32"/>
                <w:szCs w:val="32"/>
                <w:shd w:val="clear" w:color="auto" w:fill="auto"/>
                <w:lang w:eastAsia="en-US" w:bidi="en-US"/>
              </w:rPr>
            </w:pPr>
          </w:p>
        </w:tc>
        <w:tc>
          <w:tcPr>
            <w:tcW w:w="862"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办学</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pPr>
            <w:r>
              <w:rPr>
                <w:rFonts w:hint="default" w:ascii="Times New Roman" w:hAnsi="Times New Roman" w:eastAsia="仿宋_GB2312" w:cs="Times New Roman"/>
                <w:snapToGrid/>
                <w:color w:val="000000"/>
                <w:spacing w:val="0"/>
                <w:w w:val="100"/>
                <w:kern w:val="0"/>
                <w:position w:val="0"/>
                <w:sz w:val="22"/>
                <w:szCs w:val="22"/>
                <w:shd w:val="clear" w:color="auto" w:fill="auto"/>
              </w:rPr>
              <w:t>内容</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2分</w:t>
            </w:r>
          </w:p>
        </w:tc>
        <w:tc>
          <w:tcPr>
            <w:tcW w:w="4872"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lang w:eastAsia="zh-CN"/>
              </w:rPr>
            </w:pPr>
            <w:r>
              <w:rPr>
                <w:rFonts w:hint="default" w:ascii="Times New Roman" w:hAnsi="Times New Roman" w:eastAsia="仿宋_GB2312" w:cs="Times New Roman"/>
                <w:snapToGrid/>
                <w:color w:val="000000"/>
                <w:spacing w:val="0"/>
                <w:w w:val="100"/>
                <w:kern w:val="0"/>
                <w:position w:val="0"/>
                <w:sz w:val="22"/>
                <w:szCs w:val="22"/>
                <w:shd w:val="clear" w:color="auto" w:fill="auto"/>
              </w:rPr>
              <w:t>办学规模、办学形式、办学层次、培训范围等项目符合审批范围</w:t>
            </w:r>
            <w:r>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t>。</w:t>
            </w:r>
          </w:p>
        </w:tc>
        <w:tc>
          <w:tcPr>
            <w:tcW w:w="2081"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每项0.5分，全部符合2分。</w:t>
            </w:r>
          </w:p>
        </w:tc>
        <w:tc>
          <w:tcPr>
            <w:tcW w:w="4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3"/>
                <w:szCs w:val="13"/>
                <w:shd w:val="clear" w:color="auto" w:fill="auto"/>
                <w:lang w:eastAsia="en-US" w:bidi="en-US"/>
              </w:rPr>
            </w:pPr>
          </w:p>
        </w:tc>
      </w:tr>
      <w:tr>
        <w:tblPrEx>
          <w:tblCellMar>
            <w:top w:w="0" w:type="dxa"/>
            <w:left w:w="10" w:type="dxa"/>
            <w:bottom w:w="0" w:type="dxa"/>
            <w:right w:w="10" w:type="dxa"/>
          </w:tblCellMar>
        </w:tblPrEx>
        <w:trPr>
          <w:trHeight w:val="930" w:hRule="exact"/>
          <w:jc w:val="center"/>
        </w:trPr>
        <w:tc>
          <w:tcPr>
            <w:tcW w:w="744" w:type="dxa"/>
            <w:vMerge w:val="continue"/>
            <w:tcBorders>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32"/>
                <w:szCs w:val="32"/>
                <w:shd w:val="clear" w:color="auto" w:fill="auto"/>
                <w:lang w:eastAsia="en-US" w:bidi="en-US"/>
              </w:rPr>
            </w:pPr>
          </w:p>
        </w:tc>
        <w:tc>
          <w:tcPr>
            <w:tcW w:w="607" w:type="dxa"/>
            <w:vMerge w:val="continue"/>
            <w:tcBorders>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32"/>
                <w:szCs w:val="32"/>
                <w:shd w:val="clear" w:color="auto" w:fill="auto"/>
                <w:lang w:eastAsia="en-US" w:bidi="en-US"/>
              </w:rPr>
            </w:pPr>
          </w:p>
        </w:tc>
        <w:tc>
          <w:tcPr>
            <w:tcW w:w="862"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pPr>
            <w:r>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t>办学信息公开公示</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3</w:t>
            </w:r>
            <w:r>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t>分</w:t>
            </w:r>
          </w:p>
        </w:tc>
        <w:tc>
          <w:tcPr>
            <w:tcW w:w="4872"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pPr>
            <w:r>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t>《平顶山市校外培训机构公开事项公示制度》中规定的公示内容及要求</w:t>
            </w:r>
          </w:p>
        </w:tc>
        <w:tc>
          <w:tcPr>
            <w:tcW w:w="2081"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pPr>
            <w:r>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t>内容全部落实得</w:t>
            </w:r>
            <w:r>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t>3分，每缺一项扣0.5分，扣完为止。</w:t>
            </w:r>
          </w:p>
        </w:tc>
        <w:tc>
          <w:tcPr>
            <w:tcW w:w="4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3"/>
                <w:szCs w:val="13"/>
                <w:shd w:val="clear" w:color="auto" w:fill="auto"/>
                <w:lang w:eastAsia="en-US" w:bidi="en-US"/>
              </w:rPr>
            </w:pPr>
          </w:p>
        </w:tc>
      </w:tr>
    </w:tbl>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4"/>
          <w:szCs w:val="4"/>
          <w:shd w:val="clear" w:color="auto" w:fill="auto"/>
          <w:lang w:eastAsia="en-US" w:bidi="en-US"/>
        </w:rPr>
      </w:pPr>
      <w:r>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br w:type="page"/>
      </w:r>
    </w:p>
    <w:tbl>
      <w:tblPr>
        <w:tblStyle w:val="5"/>
        <w:tblW w:w="0" w:type="auto"/>
        <w:jc w:val="center"/>
        <w:tblLayout w:type="fixed"/>
        <w:tblCellMar>
          <w:top w:w="0" w:type="dxa"/>
          <w:left w:w="10" w:type="dxa"/>
          <w:bottom w:w="0" w:type="dxa"/>
          <w:right w:w="10" w:type="dxa"/>
        </w:tblCellMar>
      </w:tblPr>
      <w:tblGrid>
        <w:gridCol w:w="744"/>
        <w:gridCol w:w="744"/>
        <w:gridCol w:w="725"/>
        <w:gridCol w:w="4872"/>
        <w:gridCol w:w="1968"/>
        <w:gridCol w:w="590"/>
      </w:tblGrid>
      <w:tr>
        <w:tblPrEx>
          <w:tblCellMar>
            <w:top w:w="0" w:type="dxa"/>
            <w:left w:w="10" w:type="dxa"/>
            <w:bottom w:w="0" w:type="dxa"/>
            <w:right w:w="10" w:type="dxa"/>
          </w:tblCellMar>
        </w:tblPrEx>
        <w:trPr>
          <w:trHeight w:val="965" w:hRule="exact"/>
          <w:jc w:val="center"/>
        </w:trPr>
        <w:tc>
          <w:tcPr>
            <w:tcW w:w="744"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一级</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指标</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分值</w:t>
            </w:r>
          </w:p>
        </w:tc>
        <w:tc>
          <w:tcPr>
            <w:tcW w:w="744"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二级指标分值</w:t>
            </w:r>
          </w:p>
        </w:tc>
        <w:tc>
          <w:tcPr>
            <w:tcW w:w="7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三级指标分值</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三级指标评估内涵</w:t>
            </w:r>
          </w:p>
        </w:tc>
        <w:tc>
          <w:tcPr>
            <w:tcW w:w="1968"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评分说明</w:t>
            </w:r>
          </w:p>
        </w:tc>
        <w:tc>
          <w:tcPr>
            <w:tcW w:w="590" w:type="dxa"/>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得分</w:t>
            </w:r>
          </w:p>
        </w:tc>
      </w:tr>
      <w:tr>
        <w:tblPrEx>
          <w:tblCellMar>
            <w:top w:w="0" w:type="dxa"/>
            <w:left w:w="10" w:type="dxa"/>
            <w:bottom w:w="0" w:type="dxa"/>
            <w:right w:w="10" w:type="dxa"/>
          </w:tblCellMar>
        </w:tblPrEx>
        <w:trPr>
          <w:trHeight w:val="2458" w:hRule="exact"/>
          <w:jc w:val="center"/>
        </w:trPr>
        <w:tc>
          <w:tcPr>
            <w:tcW w:w="744"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pPr>
            <w:r>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t>办</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pPr>
            <w:r>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t>学</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pPr>
            <w:r>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t>条</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pPr>
            <w:r>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t>件</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8"/>
                <w:szCs w:val="28"/>
                <w:shd w:val="clear" w:color="auto" w:fill="auto"/>
              </w:rPr>
              <w:t>28分</w:t>
            </w:r>
          </w:p>
        </w:tc>
        <w:tc>
          <w:tcPr>
            <w:tcW w:w="744"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决策</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机制</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3分</w:t>
            </w:r>
          </w:p>
        </w:tc>
        <w:tc>
          <w:tcPr>
            <w:tcW w:w="7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决策机构3分</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机构的决策管理机构</w:t>
            </w:r>
            <w:r>
              <w:rPr>
                <w:rFonts w:hint="eastAsia" w:ascii="仿宋_GB2312" w:hAnsi="仿宋_GB2312" w:eastAsia="仿宋_GB2312" w:cs="仿宋_GB2312"/>
                <w:snapToGrid/>
                <w:color w:val="000000"/>
                <w:spacing w:val="0"/>
                <w:w w:val="100"/>
                <w:kern w:val="0"/>
                <w:position w:val="0"/>
                <w:sz w:val="22"/>
                <w:szCs w:val="22"/>
                <w:shd w:val="clear" w:color="auto" w:fill="auto"/>
              </w:rPr>
              <w:t>(董事会)</w:t>
            </w:r>
            <w:r>
              <w:rPr>
                <w:rFonts w:hint="default" w:ascii="Times New Roman" w:hAnsi="Times New Roman" w:eastAsia="仿宋_GB2312" w:cs="Times New Roman"/>
                <w:snapToGrid/>
                <w:color w:val="000000"/>
                <w:spacing w:val="0"/>
                <w:w w:val="100"/>
                <w:kern w:val="0"/>
                <w:position w:val="0"/>
                <w:sz w:val="22"/>
                <w:szCs w:val="22"/>
                <w:shd w:val="clear" w:color="auto" w:fill="auto"/>
              </w:rPr>
              <w:t>应由举办者或其代表人、党组织负责人、行政负责人、教职工代表等五人以上组成。其中</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1</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三分之一以上的人员应当具有五年以上教育教学经验；</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2</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校长具有相应的资质、学历、职成和三年以上教育管理工作经历；</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3</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董事会负责人应当品行良好,具有政治权利和完全民事行为能力；现职及退休不满三年的公务员不得担任董事会成员。</w:t>
            </w:r>
          </w:p>
        </w:tc>
        <w:tc>
          <w:tcPr>
            <w:tcW w:w="1968"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决策管理机构健全合法得3分,每缺一项扣1分。</w:t>
            </w:r>
          </w:p>
        </w:tc>
        <w:tc>
          <w:tcPr>
            <w:tcW w:w="590"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r>
      <w:tr>
        <w:tblPrEx>
          <w:tblCellMar>
            <w:top w:w="0" w:type="dxa"/>
            <w:left w:w="10" w:type="dxa"/>
            <w:bottom w:w="0" w:type="dxa"/>
            <w:right w:w="10" w:type="dxa"/>
          </w:tblCellMar>
        </w:tblPrEx>
        <w:trPr>
          <w:trHeight w:val="2765" w:hRule="exact"/>
          <w:jc w:val="center"/>
        </w:trPr>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pPr>
          </w:p>
        </w:tc>
        <w:tc>
          <w:tcPr>
            <w:tcW w:w="744"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场所</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条件</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15分</w:t>
            </w:r>
          </w:p>
        </w:tc>
        <w:tc>
          <w:tcPr>
            <w:tcW w:w="7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★机构</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选址</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5分</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1</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产权明晰</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属于租用场地校舍办学的</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须有</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两</w:t>
            </w:r>
            <w:r>
              <w:rPr>
                <w:rFonts w:hint="default" w:ascii="Times New Roman" w:hAnsi="Times New Roman" w:eastAsia="仿宋_GB2312" w:cs="Times New Roman"/>
                <w:snapToGrid/>
                <w:color w:val="000000"/>
                <w:spacing w:val="0"/>
                <w:w w:val="100"/>
                <w:kern w:val="0"/>
                <w:position w:val="0"/>
                <w:sz w:val="22"/>
                <w:szCs w:val="22"/>
                <w:shd w:val="clear" w:color="auto" w:fill="auto"/>
              </w:rPr>
              <w:t>年以上有效租用合同；</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2</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不得使用临时性简易建筑、危房、厂房、居民住宅、地下室、车库等不适合办学或有安全隐患的场地,不得租用正常办学的中小学及其他学校的教学用校舍办学。</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3</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教学用房建筑面积不少于办学场所总建筑面积的2</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3。</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4</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取得消防验收合格证或联合勘验合格证明。</w:t>
            </w:r>
          </w:p>
        </w:tc>
        <w:tc>
          <w:tcPr>
            <w:tcW w:w="1968"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lang w:eastAsia="zh-CN"/>
              </w:rPr>
            </w:pPr>
            <w:r>
              <w:rPr>
                <w:rFonts w:hint="default" w:ascii="Times New Roman" w:hAnsi="Times New Roman" w:eastAsia="仿宋_GB2312" w:cs="Times New Roman"/>
                <w:snapToGrid/>
                <w:color w:val="000000"/>
                <w:spacing w:val="0"/>
                <w:w w:val="100"/>
                <w:kern w:val="0"/>
                <w:position w:val="0"/>
                <w:sz w:val="22"/>
                <w:szCs w:val="22"/>
                <w:shd w:val="clear" w:color="auto" w:fill="auto"/>
              </w:rPr>
              <w:t>全部条件都符合得5分,每缺一项扣</w:t>
            </w:r>
            <w:r>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t>2</w:t>
            </w:r>
            <w:r>
              <w:rPr>
                <w:rFonts w:hint="default" w:ascii="Times New Roman" w:hAnsi="Times New Roman" w:eastAsia="仿宋_GB2312" w:cs="Times New Roman"/>
                <w:snapToGrid/>
                <w:color w:val="000000"/>
                <w:spacing w:val="0"/>
                <w:w w:val="100"/>
                <w:kern w:val="0"/>
                <w:position w:val="0"/>
                <w:sz w:val="22"/>
                <w:szCs w:val="22"/>
                <w:shd w:val="clear" w:color="auto" w:fill="auto"/>
              </w:rPr>
              <w:t>分。</w:t>
            </w:r>
            <w:r>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t>扣完为止。</w:t>
            </w:r>
          </w:p>
        </w:tc>
        <w:tc>
          <w:tcPr>
            <w:tcW w:w="590"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r>
      <w:tr>
        <w:tblPrEx>
          <w:tblCellMar>
            <w:top w:w="0" w:type="dxa"/>
            <w:left w:w="10" w:type="dxa"/>
            <w:bottom w:w="0" w:type="dxa"/>
            <w:right w:w="10" w:type="dxa"/>
          </w:tblCellMar>
        </w:tblPrEx>
        <w:trPr>
          <w:trHeight w:val="2760" w:hRule="exact"/>
          <w:jc w:val="center"/>
        </w:trPr>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pPr>
          </w:p>
        </w:tc>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lang w:eastAsia="en-US" w:bidi="en-US"/>
              </w:rPr>
            </w:pPr>
          </w:p>
        </w:tc>
        <w:tc>
          <w:tcPr>
            <w:tcW w:w="7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t>一</w:t>
            </w:r>
            <w:r>
              <w:rPr>
                <w:rFonts w:hint="default" w:ascii="Times New Roman" w:hAnsi="Times New Roman" w:eastAsia="仿宋_GB2312" w:cs="Times New Roman"/>
                <w:snapToGrid/>
                <w:color w:val="000000"/>
                <w:spacing w:val="0"/>
                <w:w w:val="100"/>
                <w:kern w:val="0"/>
                <w:position w:val="0"/>
                <w:sz w:val="22"/>
                <w:szCs w:val="22"/>
                <w:shd w:val="clear" w:color="auto" w:fill="auto"/>
              </w:rPr>
              <w:t>般</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设施</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4分</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eastAsia" w:ascii="Times New Roman" w:hAnsi="Times New Roman" w:eastAsia="仿宋_GB2312" w:cs="Times New Roman"/>
                <w:snapToGrid/>
                <w:kern w:val="0"/>
                <w:sz w:val="22"/>
                <w:szCs w:val="22"/>
                <w:lang w:eastAsia="zh-CN"/>
              </w:rPr>
            </w:pP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1</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普通教室</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同一培训时段内生均面积不低于3平方米</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采光照明通风条件良好</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供暖、降温设施安装到位</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配有窗帘、饮水设施</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以及触摸式一体机或电子白板；</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2</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学生前排课桌前缘与黑板距离2米以上</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根据学生身高选用两种以上型号的课桌凳或配置升降式课桌凳</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课桌凳完好率100%</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3</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学校卫生防疫硬件设施配备齐全</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卫生防疫物资充足</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制度健全</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定期消杀；</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4</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教室窗地面积比</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窗洞口面积与室内地面面积之比</w:t>
            </w:r>
            <w:r>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不应低于1</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5</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p>
        </w:tc>
        <w:tc>
          <w:tcPr>
            <w:tcW w:w="1968"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lang w:eastAsia="zh-CN"/>
              </w:rPr>
            </w:pPr>
            <w:r>
              <w:rPr>
                <w:rFonts w:hint="default" w:ascii="Times New Roman" w:hAnsi="Times New Roman" w:eastAsia="仿宋_GB2312" w:cs="Times New Roman"/>
                <w:snapToGrid/>
                <w:color w:val="000000"/>
                <w:spacing w:val="0"/>
                <w:w w:val="100"/>
                <w:kern w:val="0"/>
                <w:position w:val="0"/>
                <w:sz w:val="22"/>
                <w:szCs w:val="22"/>
                <w:shd w:val="clear" w:color="auto" w:fill="auto"/>
              </w:rPr>
              <w:t>全部条件都符合得4分,每缺一项扣</w:t>
            </w:r>
            <w:r>
              <w:rPr>
                <w:rFonts w:hint="default" w:ascii="Times New Roman" w:hAnsi="Times New Roman" w:eastAsia="仿宋_GB2312" w:cs="Times New Roman"/>
                <w:snapToGrid/>
                <w:color w:val="000000"/>
                <w:spacing w:val="0"/>
                <w:w w:val="100"/>
                <w:kern w:val="0"/>
                <w:position w:val="0"/>
                <w:sz w:val="22"/>
                <w:szCs w:val="22"/>
                <w:shd w:val="clear" w:color="auto" w:fill="auto"/>
                <w:lang w:val="en-US" w:eastAsia="zh-CN"/>
              </w:rPr>
              <w:t>2</w:t>
            </w:r>
            <w:r>
              <w:rPr>
                <w:rFonts w:hint="default" w:ascii="Times New Roman" w:hAnsi="Times New Roman" w:eastAsia="仿宋_GB2312" w:cs="Times New Roman"/>
                <w:snapToGrid/>
                <w:color w:val="000000"/>
                <w:spacing w:val="0"/>
                <w:w w:val="100"/>
                <w:kern w:val="0"/>
                <w:position w:val="0"/>
                <w:sz w:val="22"/>
                <w:szCs w:val="22"/>
                <w:shd w:val="clear" w:color="auto" w:fill="auto"/>
              </w:rPr>
              <w:t>分。</w:t>
            </w:r>
            <w:r>
              <w:rPr>
                <w:rFonts w:hint="default" w:ascii="Times New Roman" w:hAnsi="Times New Roman" w:eastAsia="仿宋_GB2312" w:cs="Times New Roman"/>
                <w:snapToGrid/>
                <w:color w:val="000000"/>
                <w:spacing w:val="0"/>
                <w:w w:val="100"/>
                <w:kern w:val="0"/>
                <w:position w:val="0"/>
                <w:sz w:val="22"/>
                <w:szCs w:val="22"/>
                <w:shd w:val="clear" w:color="auto" w:fill="auto"/>
                <w:lang w:eastAsia="zh-CN"/>
              </w:rPr>
              <w:t>扣完为止。</w:t>
            </w:r>
          </w:p>
        </w:tc>
        <w:tc>
          <w:tcPr>
            <w:tcW w:w="590"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r>
      <w:tr>
        <w:tblPrEx>
          <w:tblCellMar>
            <w:top w:w="0" w:type="dxa"/>
            <w:left w:w="10" w:type="dxa"/>
            <w:bottom w:w="0" w:type="dxa"/>
            <w:right w:w="10" w:type="dxa"/>
          </w:tblCellMar>
        </w:tblPrEx>
        <w:trPr>
          <w:trHeight w:val="2458" w:hRule="exact"/>
          <w:jc w:val="center"/>
        </w:trPr>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pPr>
          </w:p>
        </w:tc>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lang w:eastAsia="en-US" w:bidi="en-US"/>
              </w:rPr>
            </w:pPr>
          </w:p>
        </w:tc>
        <w:tc>
          <w:tcPr>
            <w:tcW w:w="7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校舍</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环境</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3分</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1</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学校设置消防安全标志</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保证疏散通道、安全出口和消防车通道畅通</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危险化学药品按规定存放</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并建立规范的管理制度。</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2</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学校用电设施安全</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线路规范；各个部位配备的灭火器、消防栓等设施定期检查</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及时更换。</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3</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校外培训机构要安装监控设备</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实现培训场所和培训过程监控全覆盖</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无死角；开展一对一辅导的场所</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（地）</w:t>
            </w:r>
            <w:r>
              <w:rPr>
                <w:rFonts w:hint="default" w:ascii="Times New Roman" w:hAnsi="Times New Roman" w:eastAsia="仿宋_GB2312" w:cs="Times New Roman"/>
                <w:snapToGrid/>
                <w:color w:val="000000"/>
                <w:spacing w:val="0"/>
                <w:w w:val="100"/>
                <w:kern w:val="0"/>
                <w:position w:val="0"/>
                <w:sz w:val="22"/>
                <w:szCs w:val="22"/>
                <w:shd w:val="clear" w:color="auto" w:fill="auto"/>
              </w:rPr>
              <w:t>必须安装监控设备</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且视频存储时间不少于30天。</w:t>
            </w:r>
          </w:p>
        </w:tc>
        <w:tc>
          <w:tcPr>
            <w:tcW w:w="1968"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全部条件都符合得3分,每缺一项扣1分。</w:t>
            </w:r>
          </w:p>
        </w:tc>
        <w:tc>
          <w:tcPr>
            <w:tcW w:w="590" w:type="dxa"/>
            <w:vMerge w:val="restart"/>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r>
      <w:tr>
        <w:tblPrEx>
          <w:tblCellMar>
            <w:top w:w="0" w:type="dxa"/>
            <w:left w:w="10" w:type="dxa"/>
            <w:bottom w:w="0" w:type="dxa"/>
            <w:right w:w="10" w:type="dxa"/>
          </w:tblCellMar>
        </w:tblPrEx>
        <w:trPr>
          <w:trHeight w:val="1238" w:hRule="exact"/>
          <w:jc w:val="center"/>
        </w:trPr>
        <w:tc>
          <w:tcPr>
            <w:tcW w:w="744" w:type="dxa"/>
            <w:vMerge w:val="continue"/>
            <w:tcBorders>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pPr>
          </w:p>
        </w:tc>
        <w:tc>
          <w:tcPr>
            <w:tcW w:w="744" w:type="dxa"/>
            <w:vMerge w:val="continue"/>
            <w:tcBorders>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lang w:eastAsia="en-US" w:bidi="en-US"/>
              </w:rPr>
            </w:pPr>
          </w:p>
        </w:tc>
        <w:tc>
          <w:tcPr>
            <w:tcW w:w="725"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办学</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2"/>
                <w:szCs w:val="22"/>
                <w:shd w:val="clear" w:color="auto" w:fill="auto"/>
              </w:rPr>
            </w:pPr>
            <w:r>
              <w:rPr>
                <w:rFonts w:hint="default" w:ascii="Times New Roman" w:hAnsi="Times New Roman" w:eastAsia="仿宋_GB2312" w:cs="Times New Roman"/>
                <w:snapToGrid/>
                <w:color w:val="000000"/>
                <w:spacing w:val="0"/>
                <w:w w:val="100"/>
                <w:kern w:val="0"/>
                <w:position w:val="0"/>
                <w:sz w:val="22"/>
                <w:szCs w:val="22"/>
                <w:shd w:val="clear" w:color="auto" w:fill="auto"/>
              </w:rPr>
              <w:t>效益</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3分</w:t>
            </w:r>
          </w:p>
        </w:tc>
        <w:tc>
          <w:tcPr>
            <w:tcW w:w="4872"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eastAsia" w:ascii="Times New Roman" w:hAnsi="Times New Roman" w:eastAsia="仿宋_GB2312" w:cs="Times New Roman"/>
                <w:snapToGrid/>
                <w:kern w:val="0"/>
                <w:sz w:val="22"/>
                <w:szCs w:val="22"/>
                <w:lang w:eastAsia="zh-CN"/>
              </w:rPr>
            </w:pPr>
            <w:r>
              <w:rPr>
                <w:rFonts w:hint="default" w:ascii="Times New Roman" w:hAnsi="Times New Roman" w:eastAsia="仿宋_GB2312" w:cs="Times New Roman"/>
                <w:snapToGrid/>
                <w:color w:val="000000"/>
                <w:spacing w:val="0"/>
                <w:w w:val="100"/>
                <w:kern w:val="0"/>
                <w:position w:val="0"/>
                <w:sz w:val="22"/>
                <w:szCs w:val="22"/>
                <w:shd w:val="clear" w:color="auto" w:fill="auto"/>
              </w:rPr>
              <w:t>学生年注册</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要求：</w:t>
            </w:r>
            <w:r>
              <w:rPr>
                <w:rFonts w:hint="default" w:ascii="Times New Roman" w:hAnsi="Times New Roman" w:eastAsia="仿宋_GB2312" w:cs="Times New Roman"/>
                <w:snapToGrid/>
                <w:color w:val="000000"/>
                <w:spacing w:val="0"/>
                <w:w w:val="100"/>
                <w:kern w:val="0"/>
                <w:position w:val="0"/>
                <w:sz w:val="22"/>
                <w:szCs w:val="22"/>
                <w:shd w:val="clear" w:color="auto" w:fill="auto"/>
              </w:rPr>
              <w:t>二星级</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不少于</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200</w:t>
            </w:r>
            <w:r>
              <w:rPr>
                <w:rFonts w:hint="default" w:ascii="Times New Roman" w:hAnsi="Times New Roman" w:eastAsia="仿宋_GB2312" w:cs="Times New Roman"/>
                <w:snapToGrid/>
                <w:color w:val="000000"/>
                <w:spacing w:val="0"/>
                <w:w w:val="100"/>
                <w:kern w:val="0"/>
                <w:position w:val="0"/>
                <w:sz w:val="22"/>
                <w:szCs w:val="22"/>
                <w:shd w:val="clear" w:color="auto" w:fill="auto"/>
              </w:rPr>
              <w:t>人,三星级</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不少于</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400</w:t>
            </w:r>
            <w:r>
              <w:rPr>
                <w:rFonts w:hint="default" w:ascii="Times New Roman" w:hAnsi="Times New Roman" w:eastAsia="仿宋_GB2312" w:cs="Times New Roman"/>
                <w:snapToGrid/>
                <w:color w:val="000000"/>
                <w:spacing w:val="0"/>
                <w:w w:val="100"/>
                <w:kern w:val="0"/>
                <w:position w:val="0"/>
                <w:sz w:val="22"/>
                <w:szCs w:val="22"/>
                <w:shd w:val="clear" w:color="auto" w:fill="auto"/>
              </w:rPr>
              <w:t>人,四星级</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不少于</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500</w:t>
            </w:r>
            <w:r>
              <w:rPr>
                <w:rFonts w:hint="default" w:ascii="Times New Roman" w:hAnsi="Times New Roman" w:eastAsia="仿宋_GB2312" w:cs="Times New Roman"/>
                <w:snapToGrid/>
                <w:color w:val="000000"/>
                <w:spacing w:val="0"/>
                <w:w w:val="100"/>
                <w:kern w:val="0"/>
                <w:position w:val="0"/>
                <w:sz w:val="22"/>
                <w:szCs w:val="22"/>
                <w:shd w:val="clear" w:color="auto" w:fill="auto"/>
              </w:rPr>
              <w:t>人,五星级</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不少于</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1</w:t>
            </w:r>
            <w:r>
              <w:rPr>
                <w:rFonts w:hint="default" w:ascii="Times New Roman" w:hAnsi="Times New Roman" w:eastAsia="仿宋_GB2312" w:cs="Times New Roman"/>
                <w:snapToGrid/>
                <w:color w:val="000000"/>
                <w:spacing w:val="0"/>
                <w:w w:val="100"/>
                <w:kern w:val="0"/>
                <w:position w:val="0"/>
                <w:sz w:val="22"/>
                <w:szCs w:val="22"/>
                <w:shd w:val="clear" w:color="auto" w:fill="auto"/>
              </w:rPr>
              <w:t>000人</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r>
              <w:rPr>
                <w:rFonts w:hint="default" w:ascii="Times New Roman" w:hAnsi="Times New Roman" w:eastAsia="仿宋_GB2312" w:cs="Times New Roman"/>
                <w:snapToGrid/>
                <w:color w:val="000000"/>
                <w:spacing w:val="0"/>
                <w:w w:val="100"/>
                <w:kern w:val="0"/>
                <w:position w:val="0"/>
                <w:sz w:val="22"/>
                <w:szCs w:val="22"/>
                <w:shd w:val="clear" w:color="auto" w:fill="auto"/>
              </w:rPr>
              <w:t>教学区资产达</w:t>
            </w:r>
            <w:r>
              <w:rPr>
                <w:rFonts w:hint="eastAsia" w:ascii="Times New Roman" w:hAnsi="Times New Roman" w:eastAsia="仿宋_GB2312" w:cs="Times New Roman"/>
                <w:snapToGrid/>
                <w:color w:val="000000"/>
                <w:spacing w:val="0"/>
                <w:w w:val="100"/>
                <w:kern w:val="0"/>
                <w:position w:val="0"/>
                <w:sz w:val="22"/>
                <w:szCs w:val="22"/>
                <w:shd w:val="clear" w:color="auto" w:fill="auto"/>
                <w:lang w:val="en-US" w:eastAsia="zh-CN"/>
              </w:rPr>
              <w:t>3</w:t>
            </w:r>
            <w:r>
              <w:rPr>
                <w:rFonts w:hint="default" w:ascii="Times New Roman" w:hAnsi="Times New Roman" w:eastAsia="仿宋_GB2312" w:cs="Times New Roman"/>
                <w:snapToGrid/>
                <w:color w:val="000000"/>
                <w:spacing w:val="0"/>
                <w:w w:val="100"/>
                <w:kern w:val="0"/>
                <w:position w:val="0"/>
                <w:sz w:val="22"/>
                <w:szCs w:val="22"/>
                <w:shd w:val="clear" w:color="auto" w:fill="auto"/>
              </w:rPr>
              <w:t>0万元以上</w:t>
            </w:r>
            <w:r>
              <w:rPr>
                <w:rFonts w:hint="eastAsia" w:ascii="Times New Roman" w:hAnsi="Times New Roman" w:eastAsia="仿宋_GB2312" w:cs="Times New Roman"/>
                <w:snapToGrid/>
                <w:color w:val="000000"/>
                <w:spacing w:val="0"/>
                <w:w w:val="100"/>
                <w:kern w:val="0"/>
                <w:position w:val="0"/>
                <w:sz w:val="22"/>
                <w:szCs w:val="22"/>
                <w:shd w:val="clear" w:color="auto" w:fill="auto"/>
                <w:lang w:eastAsia="zh-CN"/>
              </w:rPr>
              <w:t>。</w:t>
            </w:r>
          </w:p>
        </w:tc>
        <w:tc>
          <w:tcPr>
            <w:tcW w:w="1968"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2"/>
                <w:szCs w:val="22"/>
              </w:rPr>
            </w:pPr>
            <w:r>
              <w:rPr>
                <w:rFonts w:hint="default" w:ascii="Times New Roman" w:hAnsi="Times New Roman" w:eastAsia="仿宋_GB2312" w:cs="Times New Roman"/>
                <w:snapToGrid/>
                <w:color w:val="000000"/>
                <w:spacing w:val="0"/>
                <w:w w:val="100"/>
                <w:kern w:val="0"/>
                <w:position w:val="0"/>
                <w:sz w:val="22"/>
                <w:szCs w:val="22"/>
                <w:shd w:val="clear" w:color="auto" w:fill="auto"/>
              </w:rPr>
              <w:t>全部条件都符合得3分,学生注册项符合条件得2分,资产符合条件得1分。</w:t>
            </w:r>
          </w:p>
        </w:tc>
        <w:tc>
          <w:tcPr>
            <w:tcW w:w="590" w:type="dxa"/>
            <w:vMerge w:val="continue"/>
            <w:tcBorders>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pPr>
          </w:p>
        </w:tc>
      </w:tr>
    </w:tbl>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4"/>
          <w:szCs w:val="4"/>
          <w:shd w:val="clear" w:color="auto" w:fill="auto"/>
          <w:lang w:eastAsia="en-US" w:bidi="en-US"/>
        </w:rPr>
      </w:pPr>
      <w:r>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br w:type="page"/>
      </w:r>
    </w:p>
    <w:tbl>
      <w:tblPr>
        <w:tblStyle w:val="5"/>
        <w:tblW w:w="0" w:type="auto"/>
        <w:jc w:val="center"/>
        <w:tblLayout w:type="fixed"/>
        <w:tblCellMar>
          <w:top w:w="0" w:type="dxa"/>
          <w:left w:w="10" w:type="dxa"/>
          <w:bottom w:w="0" w:type="dxa"/>
          <w:right w:w="10" w:type="dxa"/>
        </w:tblCellMar>
      </w:tblPr>
      <w:tblGrid>
        <w:gridCol w:w="744"/>
        <w:gridCol w:w="744"/>
        <w:gridCol w:w="725"/>
        <w:gridCol w:w="4872"/>
        <w:gridCol w:w="1968"/>
        <w:gridCol w:w="590"/>
      </w:tblGrid>
      <w:tr>
        <w:tblPrEx>
          <w:tblCellMar>
            <w:top w:w="0" w:type="dxa"/>
            <w:left w:w="10" w:type="dxa"/>
            <w:bottom w:w="0" w:type="dxa"/>
            <w:right w:w="10" w:type="dxa"/>
          </w:tblCellMar>
        </w:tblPrEx>
        <w:trPr>
          <w:trHeight w:val="965" w:hRule="exact"/>
          <w:jc w:val="center"/>
        </w:trPr>
        <w:tc>
          <w:tcPr>
            <w:tcW w:w="744"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一级指标分值</w:t>
            </w:r>
          </w:p>
        </w:tc>
        <w:tc>
          <w:tcPr>
            <w:tcW w:w="744"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二级指标分值</w:t>
            </w:r>
          </w:p>
        </w:tc>
        <w:tc>
          <w:tcPr>
            <w:tcW w:w="7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三级指标分值</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三级指标评估内涵</w:t>
            </w:r>
          </w:p>
        </w:tc>
        <w:tc>
          <w:tcPr>
            <w:tcW w:w="1968"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评分说明</w:t>
            </w:r>
          </w:p>
        </w:tc>
        <w:tc>
          <w:tcPr>
            <w:tcW w:w="590" w:type="dxa"/>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得</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分</w:t>
            </w:r>
          </w:p>
        </w:tc>
      </w:tr>
      <w:tr>
        <w:tblPrEx>
          <w:tblCellMar>
            <w:top w:w="0" w:type="dxa"/>
            <w:left w:w="10" w:type="dxa"/>
            <w:bottom w:w="0" w:type="dxa"/>
            <w:right w:w="10" w:type="dxa"/>
          </w:tblCellMar>
        </w:tblPrEx>
        <w:trPr>
          <w:trHeight w:val="2246" w:hRule="exact"/>
          <w:jc w:val="center"/>
        </w:trPr>
        <w:tc>
          <w:tcPr>
            <w:tcW w:w="744" w:type="dxa"/>
            <w:vMerge w:val="restart"/>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c>
          <w:tcPr>
            <w:tcW w:w="744"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snapToGrid/>
                <w:color w:val="000000"/>
                <w:spacing w:val="0"/>
                <w:w w:val="100"/>
                <w:kern w:val="0"/>
                <w:position w:val="0"/>
                <w:sz w:val="21"/>
                <w:szCs w:val="21"/>
                <w:shd w:val="clear" w:color="auto" w:fill="auto"/>
              </w:rPr>
              <w:t>师资</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snapToGrid/>
                <w:color w:val="000000"/>
                <w:spacing w:val="0"/>
                <w:w w:val="100"/>
                <w:kern w:val="0"/>
                <w:position w:val="0"/>
                <w:sz w:val="21"/>
                <w:szCs w:val="21"/>
                <w:shd w:val="clear" w:color="auto" w:fill="auto"/>
              </w:rPr>
              <w:t>力量</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10分</w:t>
            </w:r>
          </w:p>
        </w:tc>
        <w:tc>
          <w:tcPr>
            <w:tcW w:w="7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★专职</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教师</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6分</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（1）培训机构应有相对稳定的专职师资队伍，并接受家长及全社会的监督。单个教学点开设的培训课程均应配备</w:t>
            </w:r>
            <w:r>
              <w:rPr>
                <w:rFonts w:hint="eastAsia" w:ascii="Times New Roman" w:hAnsi="Times New Roman" w:eastAsia="仿宋_GB2312" w:cs="Times New Roman"/>
                <w:snapToGrid/>
                <w:color w:val="000000"/>
                <w:spacing w:val="0"/>
                <w:w w:val="100"/>
                <w:kern w:val="0"/>
                <w:position w:val="0"/>
                <w:sz w:val="21"/>
                <w:szCs w:val="21"/>
                <w:shd w:val="clear" w:color="auto" w:fill="auto"/>
                <w:lang w:val="en-US" w:eastAsia="zh-CN"/>
              </w:rPr>
              <w:t>3</w:t>
            </w:r>
            <w:r>
              <w:rPr>
                <w:rFonts w:hint="default" w:ascii="Times New Roman" w:hAnsi="Times New Roman" w:eastAsia="仿宋_GB2312" w:cs="Times New Roman"/>
                <w:snapToGrid/>
                <w:color w:val="000000"/>
                <w:spacing w:val="0"/>
                <w:w w:val="100"/>
                <w:kern w:val="0"/>
                <w:position w:val="0"/>
                <w:sz w:val="21"/>
                <w:szCs w:val="21"/>
                <w:shd w:val="clear" w:color="auto" w:fill="auto"/>
              </w:rPr>
              <w:t>名具备相应资质的专职教师，专职教师数不得少于教师总数的1/</w:t>
            </w:r>
            <w:r>
              <w:rPr>
                <w:rFonts w:hint="eastAsia" w:ascii="Times New Roman" w:hAnsi="Times New Roman" w:eastAsia="仿宋_GB2312" w:cs="Times New Roman"/>
                <w:snapToGrid/>
                <w:color w:val="000000"/>
                <w:spacing w:val="0"/>
                <w:w w:val="100"/>
                <w:kern w:val="0"/>
                <w:position w:val="0"/>
                <w:sz w:val="21"/>
                <w:szCs w:val="21"/>
                <w:shd w:val="clear" w:color="auto" w:fill="auto"/>
                <w:lang w:val="en-US" w:eastAsia="zh-CN"/>
              </w:rPr>
              <w:t>3</w:t>
            </w:r>
            <w:r>
              <w:rPr>
                <w:rFonts w:hint="default" w:ascii="Times New Roman" w:hAnsi="Times New Roman" w:eastAsia="仿宋_GB2312" w:cs="Times New Roman"/>
                <w:snapToGrid/>
                <w:color w:val="000000"/>
                <w:spacing w:val="0"/>
                <w:w w:val="100"/>
                <w:kern w:val="0"/>
                <w:position w:val="0"/>
                <w:sz w:val="21"/>
                <w:szCs w:val="21"/>
                <w:shd w:val="clear" w:color="auto" w:fill="auto"/>
              </w:rPr>
              <w:t>。（2）从事语文、数学、英语及物理、化学、生物等学科知识培训的教师应具有相应的教师资格，外籍教师从教应取得外专局的审批和备案。</w:t>
            </w:r>
          </w:p>
        </w:tc>
        <w:tc>
          <w:tcPr>
            <w:tcW w:w="1968"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全部条件都符合得6分，每缺一项扣3分。</w:t>
            </w:r>
          </w:p>
        </w:tc>
        <w:tc>
          <w:tcPr>
            <w:tcW w:w="590"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r>
      <w:tr>
        <w:tblPrEx>
          <w:tblCellMar>
            <w:top w:w="0" w:type="dxa"/>
            <w:left w:w="10" w:type="dxa"/>
            <w:bottom w:w="0" w:type="dxa"/>
            <w:right w:w="10" w:type="dxa"/>
          </w:tblCellMar>
        </w:tblPrEx>
        <w:trPr>
          <w:trHeight w:val="2573" w:hRule="exact"/>
          <w:jc w:val="center"/>
        </w:trPr>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pPr>
          </w:p>
        </w:tc>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pPr>
          </w:p>
        </w:tc>
        <w:tc>
          <w:tcPr>
            <w:tcW w:w="7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snapToGrid/>
                <w:color w:val="000000"/>
                <w:spacing w:val="0"/>
                <w:w w:val="100"/>
                <w:kern w:val="0"/>
                <w:position w:val="0"/>
                <w:sz w:val="21"/>
                <w:szCs w:val="21"/>
                <w:shd w:val="clear" w:color="auto" w:fill="auto"/>
              </w:rPr>
              <w:t>教师</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snapToGrid/>
                <w:color w:val="000000"/>
                <w:spacing w:val="0"/>
                <w:w w:val="100"/>
                <w:kern w:val="0"/>
                <w:position w:val="0"/>
                <w:sz w:val="21"/>
                <w:szCs w:val="21"/>
                <w:shd w:val="clear" w:color="auto" w:fill="auto"/>
              </w:rPr>
              <w:t>保障</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4分</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1）教师档案齐全，业务情况有记录，教师评价体系和奖惩机制完整。（2）教育机构应建立适应教师职业发展的培训体系，每学年安排教师培训进修不少于36学时，制定培训计划，并记录培训效果。（3）与聘用教师签订规范的劳动合同，保障其工资和福利待遇按时发放。（4）重视师德师风建设，纳入教师管理，有教育、宣传、考核、监督与奖惩相结合的师德建设制度和措施。</w:t>
            </w:r>
          </w:p>
        </w:tc>
        <w:tc>
          <w:tcPr>
            <w:tcW w:w="1968"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全部条件都符合得4分，每缺一项扣1分。</w:t>
            </w:r>
          </w:p>
        </w:tc>
        <w:tc>
          <w:tcPr>
            <w:tcW w:w="590"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r>
      <w:tr>
        <w:tblPrEx>
          <w:tblCellMar>
            <w:top w:w="0" w:type="dxa"/>
            <w:left w:w="10" w:type="dxa"/>
            <w:bottom w:w="0" w:type="dxa"/>
            <w:right w:w="10" w:type="dxa"/>
          </w:tblCellMar>
        </w:tblPrEx>
        <w:trPr>
          <w:trHeight w:val="1608" w:hRule="exact"/>
          <w:jc w:val="center"/>
        </w:trPr>
        <w:tc>
          <w:tcPr>
            <w:tcW w:w="744"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pPr>
            <w:r>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t>规</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pPr>
            <w:r>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t>范</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pPr>
            <w:r>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t>办</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pPr>
            <w:r>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t>学</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40分</w:t>
            </w:r>
          </w:p>
        </w:tc>
        <w:tc>
          <w:tcPr>
            <w:tcW w:w="744"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snapToGrid/>
                <w:color w:val="000000"/>
                <w:spacing w:val="0"/>
                <w:w w:val="100"/>
                <w:kern w:val="0"/>
                <w:position w:val="0"/>
                <w:sz w:val="21"/>
                <w:szCs w:val="21"/>
                <w:shd w:val="clear" w:color="auto" w:fill="auto"/>
              </w:rPr>
              <w:t>细化</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snapToGrid/>
                <w:color w:val="000000"/>
                <w:spacing w:val="0"/>
                <w:w w:val="100"/>
                <w:kern w:val="0"/>
                <w:position w:val="0"/>
                <w:sz w:val="21"/>
                <w:szCs w:val="21"/>
                <w:shd w:val="clear" w:color="auto" w:fill="auto"/>
              </w:rPr>
              <w:t>安排</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10分</w:t>
            </w:r>
          </w:p>
        </w:tc>
        <w:tc>
          <w:tcPr>
            <w:tcW w:w="7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★负担</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合理</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4分</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1）符合国家管理规定，培训机构不得超出同期学校课程进度，不得留课后作业；（2）培训时间不得和当地中小学校教学时间相冲突；（3）培训结束时间不得晚于20:30;（4）不得频繁组织测试，不得公开学生测试成绩和排名。</w:t>
            </w:r>
          </w:p>
        </w:tc>
        <w:tc>
          <w:tcPr>
            <w:tcW w:w="1968"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全部条件都符合得</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4分，每缺一项扣1分。</w:t>
            </w:r>
          </w:p>
        </w:tc>
        <w:tc>
          <w:tcPr>
            <w:tcW w:w="590"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r>
      <w:tr>
        <w:tblPrEx>
          <w:tblCellMar>
            <w:top w:w="0" w:type="dxa"/>
            <w:left w:w="10" w:type="dxa"/>
            <w:bottom w:w="0" w:type="dxa"/>
            <w:right w:w="10" w:type="dxa"/>
          </w:tblCellMar>
        </w:tblPrEx>
        <w:trPr>
          <w:trHeight w:val="3211" w:hRule="exact"/>
          <w:jc w:val="center"/>
        </w:trPr>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pPr>
          </w:p>
        </w:tc>
        <w:tc>
          <w:tcPr>
            <w:tcW w:w="744"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pPr>
          </w:p>
        </w:tc>
        <w:tc>
          <w:tcPr>
            <w:tcW w:w="7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课程教材6分</w:t>
            </w:r>
          </w:p>
        </w:tc>
        <w:tc>
          <w:tcPr>
            <w:tcW w:w="4872"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20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1）课程内容应积极适应教育改革发展趋势，以培养学生的兴趣爱好、创新精神和实践能力等方面为目标。（2）有专门的课程研发部门与团队，同时研发经费有保障。（3）教育机构应使用正式出版的教材，或建立审核机制，使用通过审核的自编教材和境外教材。不得出版、印刷、复制、发行非法出版物，不得从事侵权盗版活动。（4）语文、数学、英语、物理、化学、生物学超纲教学判定，参考教育部颁布的义务教育六科《超标超前培训负面清单（试行）》。</w:t>
            </w:r>
          </w:p>
        </w:tc>
        <w:tc>
          <w:tcPr>
            <w:tcW w:w="1968"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全部条件都符合得</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6分，每缺一项扣2分。</w:t>
            </w:r>
          </w:p>
        </w:tc>
        <w:tc>
          <w:tcPr>
            <w:tcW w:w="590"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r>
      <w:tr>
        <w:tblPrEx>
          <w:tblCellMar>
            <w:top w:w="0" w:type="dxa"/>
            <w:left w:w="10" w:type="dxa"/>
            <w:bottom w:w="0" w:type="dxa"/>
            <w:right w:w="10" w:type="dxa"/>
          </w:tblCellMar>
        </w:tblPrEx>
        <w:trPr>
          <w:trHeight w:val="1934" w:hRule="exact"/>
          <w:jc w:val="center"/>
        </w:trPr>
        <w:tc>
          <w:tcPr>
            <w:tcW w:w="744" w:type="dxa"/>
            <w:vMerge w:val="continue"/>
            <w:tcBorders>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pPr>
          </w:p>
        </w:tc>
        <w:tc>
          <w:tcPr>
            <w:tcW w:w="744"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snapToGrid/>
                <w:color w:val="000000"/>
                <w:spacing w:val="0"/>
                <w:w w:val="100"/>
                <w:kern w:val="0"/>
                <w:position w:val="0"/>
                <w:sz w:val="21"/>
                <w:szCs w:val="21"/>
                <w:shd w:val="clear" w:color="auto" w:fill="auto"/>
              </w:rPr>
              <w:t>财务</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snapToGrid/>
                <w:color w:val="000000"/>
                <w:spacing w:val="0"/>
                <w:w w:val="100"/>
                <w:kern w:val="0"/>
                <w:position w:val="0"/>
                <w:sz w:val="21"/>
                <w:szCs w:val="21"/>
                <w:shd w:val="clear" w:color="auto" w:fill="auto"/>
              </w:rPr>
              <w:t>管理</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1</w:t>
            </w:r>
            <w:r>
              <w:rPr>
                <w:rFonts w:hint="default" w:ascii="Times New Roman" w:hAnsi="Times New Roman" w:eastAsia="仿宋_GB2312" w:cs="Times New Roman"/>
                <w:snapToGrid/>
                <w:color w:val="000000"/>
                <w:spacing w:val="0"/>
                <w:w w:val="100"/>
                <w:kern w:val="0"/>
                <w:position w:val="0"/>
                <w:sz w:val="21"/>
                <w:szCs w:val="21"/>
                <w:shd w:val="clear" w:color="auto" w:fill="auto"/>
                <w:lang w:val="en-US" w:eastAsia="zh-CN"/>
              </w:rPr>
              <w:t>4</w:t>
            </w:r>
            <w:r>
              <w:rPr>
                <w:rFonts w:hint="default" w:ascii="Times New Roman" w:hAnsi="Times New Roman" w:eastAsia="仿宋_GB2312" w:cs="Times New Roman"/>
                <w:snapToGrid/>
                <w:color w:val="000000"/>
                <w:spacing w:val="0"/>
                <w:w w:val="100"/>
                <w:kern w:val="0"/>
                <w:position w:val="0"/>
                <w:sz w:val="21"/>
                <w:szCs w:val="21"/>
                <w:shd w:val="clear" w:color="auto" w:fill="auto"/>
              </w:rPr>
              <w:t>分</w:t>
            </w:r>
          </w:p>
        </w:tc>
        <w:tc>
          <w:tcPr>
            <w:tcW w:w="725"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★收费</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退费</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lang w:val="en-US" w:eastAsia="zh-CN"/>
              </w:rPr>
              <w:t>3</w:t>
            </w:r>
            <w:r>
              <w:rPr>
                <w:rFonts w:hint="default" w:ascii="Times New Roman" w:hAnsi="Times New Roman" w:eastAsia="仿宋_GB2312" w:cs="Times New Roman"/>
                <w:snapToGrid/>
                <w:color w:val="000000"/>
                <w:spacing w:val="0"/>
                <w:w w:val="100"/>
                <w:kern w:val="0"/>
                <w:position w:val="0"/>
                <w:sz w:val="21"/>
                <w:szCs w:val="21"/>
                <w:shd w:val="clear" w:color="auto" w:fill="auto"/>
              </w:rPr>
              <w:t>分</w:t>
            </w:r>
          </w:p>
        </w:tc>
        <w:tc>
          <w:tcPr>
            <w:tcW w:w="4872"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right="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（1）所有收费标准、收费项目和退费办法应当公示。（2）不得一次性收取时间跨度超过3个月的课程培训费用。（</w:t>
            </w:r>
            <w:r>
              <w:rPr>
                <w:rFonts w:hint="default" w:ascii="Times New Roman" w:hAnsi="Times New Roman" w:eastAsia="仿宋_GB2312" w:cs="Times New Roman"/>
                <w:snapToGrid/>
                <w:color w:val="000000"/>
                <w:spacing w:val="0"/>
                <w:w w:val="100"/>
                <w:kern w:val="0"/>
                <w:position w:val="0"/>
                <w:sz w:val="21"/>
                <w:szCs w:val="21"/>
                <w:shd w:val="clear" w:color="auto" w:fill="auto"/>
                <w:lang w:val="en-US" w:eastAsia="zh-CN"/>
              </w:rPr>
              <w:t>3</w:t>
            </w:r>
            <w:r>
              <w:rPr>
                <w:rFonts w:hint="default" w:ascii="Times New Roman" w:hAnsi="Times New Roman" w:eastAsia="仿宋_GB2312" w:cs="Times New Roman"/>
                <w:snapToGrid/>
                <w:color w:val="000000"/>
                <w:spacing w:val="0"/>
                <w:w w:val="100"/>
                <w:kern w:val="0"/>
                <w:position w:val="0"/>
                <w:sz w:val="21"/>
                <w:szCs w:val="21"/>
                <w:shd w:val="clear" w:color="auto" w:fill="auto"/>
              </w:rPr>
              <w:t>）与家长签订《</w:t>
            </w:r>
            <w:r>
              <w:rPr>
                <w:rFonts w:hint="default" w:ascii="Times New Roman" w:hAnsi="Times New Roman" w:eastAsia="仿宋_GB2312" w:cs="Times New Roman"/>
                <w:snapToGrid/>
                <w:color w:val="000000"/>
                <w:spacing w:val="0"/>
                <w:w w:val="100"/>
                <w:kern w:val="0"/>
                <w:position w:val="0"/>
                <w:sz w:val="21"/>
                <w:szCs w:val="21"/>
                <w:shd w:val="clear" w:color="auto" w:fill="auto"/>
                <w:lang w:eastAsia="zh-CN"/>
              </w:rPr>
              <w:t>平顶山市</w:t>
            </w:r>
            <w:r>
              <w:rPr>
                <w:rFonts w:hint="default" w:ascii="Times New Roman" w:hAnsi="Times New Roman" w:eastAsia="仿宋_GB2312" w:cs="Times New Roman"/>
                <w:snapToGrid/>
                <w:color w:val="000000"/>
                <w:spacing w:val="0"/>
                <w:w w:val="100"/>
                <w:kern w:val="0"/>
                <w:position w:val="0"/>
                <w:sz w:val="21"/>
                <w:szCs w:val="21"/>
                <w:shd w:val="clear" w:color="auto" w:fill="auto"/>
              </w:rPr>
              <w:t>中小学生校外培训服务合同（示范文本）》。</w:t>
            </w:r>
          </w:p>
        </w:tc>
        <w:tc>
          <w:tcPr>
            <w:tcW w:w="1968"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全部条件都符合得</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lang w:val="en-US" w:eastAsia="zh-CN"/>
              </w:rPr>
              <w:t>3</w:t>
            </w:r>
            <w:r>
              <w:rPr>
                <w:rFonts w:hint="default" w:ascii="Times New Roman" w:hAnsi="Times New Roman" w:eastAsia="仿宋_GB2312" w:cs="Times New Roman"/>
                <w:snapToGrid/>
                <w:color w:val="000000"/>
                <w:spacing w:val="0"/>
                <w:w w:val="100"/>
                <w:kern w:val="0"/>
                <w:position w:val="0"/>
                <w:sz w:val="21"/>
                <w:szCs w:val="21"/>
                <w:shd w:val="clear" w:color="auto" w:fill="auto"/>
              </w:rPr>
              <w:t>分，每缺一项扣1分。</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r>
    </w:tbl>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default" w:ascii="Times New Roman" w:hAnsi="Times New Roman" w:eastAsia="仿宋_GB2312" w:cs="Times New Roman"/>
          <w:sz w:val="36"/>
          <w:szCs w:val="36"/>
        </w:rPr>
        <w:sectPr>
          <w:footerReference r:id="rId5" w:type="default"/>
          <w:footnotePr>
            <w:numFmt w:val="decimal"/>
          </w:footnotePr>
          <w:pgSz w:w="11900" w:h="16840"/>
          <w:pgMar w:top="2098" w:right="1474" w:bottom="1984" w:left="1587" w:header="220" w:footer="1500" w:gutter="0"/>
          <w:pgNumType w:fmt="numberInDash" w:start="1"/>
          <w:cols w:space="720" w:num="1"/>
          <w:rtlGutter w:val="0"/>
          <w:docGrid w:linePitch="360" w:charSpace="0"/>
        </w:sectPr>
      </w:pPr>
    </w:p>
    <w:tbl>
      <w:tblPr>
        <w:tblStyle w:val="5"/>
        <w:tblW w:w="0" w:type="auto"/>
        <w:jc w:val="center"/>
        <w:tblLayout w:type="fixed"/>
        <w:tblCellMar>
          <w:top w:w="0" w:type="dxa"/>
          <w:left w:w="10" w:type="dxa"/>
          <w:bottom w:w="0" w:type="dxa"/>
          <w:right w:w="10" w:type="dxa"/>
        </w:tblCellMar>
      </w:tblPr>
      <w:tblGrid>
        <w:gridCol w:w="641"/>
        <w:gridCol w:w="641"/>
        <w:gridCol w:w="625"/>
        <w:gridCol w:w="4197"/>
        <w:gridCol w:w="1696"/>
        <w:gridCol w:w="508"/>
      </w:tblGrid>
      <w:tr>
        <w:tblPrEx>
          <w:tblCellMar>
            <w:top w:w="0" w:type="dxa"/>
            <w:left w:w="10" w:type="dxa"/>
            <w:bottom w:w="0" w:type="dxa"/>
            <w:right w:w="10" w:type="dxa"/>
          </w:tblCellMar>
        </w:tblPrEx>
        <w:trPr>
          <w:trHeight w:val="965" w:hRule="exact"/>
          <w:jc w:val="center"/>
        </w:trPr>
        <w:tc>
          <w:tcPr>
            <w:tcW w:w="641"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一级指标分值</w:t>
            </w:r>
          </w:p>
        </w:tc>
        <w:tc>
          <w:tcPr>
            <w:tcW w:w="641"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二级指标分值</w:t>
            </w:r>
          </w:p>
        </w:tc>
        <w:tc>
          <w:tcPr>
            <w:tcW w:w="6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三级指标分值</w:t>
            </w:r>
          </w:p>
        </w:tc>
        <w:tc>
          <w:tcPr>
            <w:tcW w:w="4197"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三级指标评估内涵</w:t>
            </w:r>
          </w:p>
        </w:tc>
        <w:tc>
          <w:tcPr>
            <w:tcW w:w="1696"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评分说明</w:t>
            </w:r>
          </w:p>
        </w:tc>
        <w:tc>
          <w:tcPr>
            <w:tcW w:w="508" w:type="dxa"/>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得分</w:t>
            </w:r>
          </w:p>
        </w:tc>
      </w:tr>
      <w:tr>
        <w:tblPrEx>
          <w:tblCellMar>
            <w:top w:w="0" w:type="dxa"/>
            <w:left w:w="10" w:type="dxa"/>
            <w:bottom w:w="0" w:type="dxa"/>
            <w:right w:w="10" w:type="dxa"/>
          </w:tblCellMar>
        </w:tblPrEx>
        <w:trPr>
          <w:trHeight w:val="3650" w:hRule="exact"/>
          <w:jc w:val="center"/>
        </w:trPr>
        <w:tc>
          <w:tcPr>
            <w:tcW w:w="641" w:type="dxa"/>
            <w:vMerge w:val="restart"/>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c>
          <w:tcPr>
            <w:tcW w:w="641"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c>
          <w:tcPr>
            <w:tcW w:w="6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★资金</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snapToGrid/>
                <w:color w:val="000000"/>
                <w:spacing w:val="0"/>
                <w:w w:val="100"/>
                <w:kern w:val="0"/>
                <w:position w:val="0"/>
                <w:sz w:val="21"/>
                <w:szCs w:val="21"/>
                <w:shd w:val="clear" w:color="auto" w:fill="auto"/>
              </w:rPr>
              <w:t>监管</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lang w:val="en-US" w:eastAsia="zh-CN"/>
              </w:rPr>
              <w:t>11</w:t>
            </w:r>
            <w:r>
              <w:rPr>
                <w:rFonts w:hint="default" w:ascii="Times New Roman" w:hAnsi="Times New Roman" w:eastAsia="仿宋_GB2312" w:cs="Times New Roman"/>
                <w:snapToGrid/>
                <w:color w:val="000000"/>
                <w:spacing w:val="0"/>
                <w:w w:val="100"/>
                <w:kern w:val="0"/>
                <w:position w:val="0"/>
                <w:sz w:val="21"/>
                <w:szCs w:val="21"/>
                <w:shd w:val="clear" w:color="auto" w:fill="auto"/>
              </w:rPr>
              <w:t>分</w:t>
            </w:r>
          </w:p>
        </w:tc>
        <w:tc>
          <w:tcPr>
            <w:tcW w:w="4197"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w:t>
            </w:r>
            <w:r>
              <w:rPr>
                <w:rFonts w:hint="default" w:ascii="Times New Roman" w:hAnsi="Times New Roman" w:eastAsia="仿宋_GB2312" w:cs="Times New Roman"/>
                <w:snapToGrid/>
                <w:color w:val="000000"/>
                <w:spacing w:val="0"/>
                <w:w w:val="100"/>
                <w:kern w:val="0"/>
                <w:position w:val="0"/>
                <w:sz w:val="21"/>
                <w:szCs w:val="21"/>
                <w:shd w:val="clear" w:color="auto" w:fill="auto"/>
                <w:lang w:val="en-US" w:eastAsia="zh-CN"/>
              </w:rPr>
              <w:t>1</w:t>
            </w:r>
            <w:r>
              <w:rPr>
                <w:rFonts w:hint="default" w:ascii="Times New Roman" w:hAnsi="Times New Roman" w:eastAsia="仿宋_GB2312" w:cs="Times New Roman"/>
                <w:snapToGrid/>
                <w:color w:val="000000"/>
                <w:spacing w:val="0"/>
                <w:w w:val="100"/>
                <w:kern w:val="0"/>
                <w:position w:val="0"/>
                <w:sz w:val="21"/>
                <w:szCs w:val="21"/>
                <w:shd w:val="clear" w:color="auto" w:fill="auto"/>
              </w:rPr>
              <w:t>）</w:t>
            </w:r>
            <w:r>
              <w:rPr>
                <w:rFonts w:hint="default" w:ascii="Times New Roman" w:hAnsi="Times New Roman" w:eastAsia="仿宋_GB2312" w:cs="Times New Roman"/>
                <w:snapToGrid/>
                <w:color w:val="000000"/>
                <w:spacing w:val="0"/>
                <w:w w:val="100"/>
                <w:kern w:val="0"/>
                <w:position w:val="0"/>
                <w:sz w:val="21"/>
                <w:szCs w:val="21"/>
                <w:shd w:val="clear" w:color="auto" w:fill="auto"/>
                <w:lang w:eastAsia="zh-CN"/>
              </w:rPr>
              <w:t>使用规范票据且缴纳学费全部纳入校外培训机构学员预缴费服务系统，在智慧教培监管平台实现预缴费资金全量监管。</w:t>
            </w:r>
            <w:r>
              <w:rPr>
                <w:rFonts w:hint="default" w:ascii="Times New Roman" w:hAnsi="Times New Roman" w:eastAsia="仿宋_GB2312" w:cs="Times New Roman"/>
                <w:snapToGrid/>
                <w:color w:val="000000"/>
                <w:spacing w:val="0"/>
                <w:w w:val="100"/>
                <w:kern w:val="0"/>
                <w:position w:val="0"/>
                <w:sz w:val="21"/>
                <w:szCs w:val="21"/>
                <w:shd w:val="clear" w:color="auto" w:fill="auto"/>
              </w:rPr>
              <w:t>（</w:t>
            </w:r>
            <w:r>
              <w:rPr>
                <w:rFonts w:hint="default" w:ascii="Times New Roman" w:hAnsi="Times New Roman" w:eastAsia="仿宋_GB2312" w:cs="Times New Roman"/>
                <w:snapToGrid/>
                <w:color w:val="000000"/>
                <w:spacing w:val="0"/>
                <w:w w:val="100"/>
                <w:kern w:val="0"/>
                <w:position w:val="0"/>
                <w:sz w:val="21"/>
                <w:szCs w:val="21"/>
                <w:shd w:val="clear" w:color="auto" w:fill="auto"/>
                <w:lang w:val="en-US" w:eastAsia="zh-CN"/>
              </w:rPr>
              <w:t>2</w:t>
            </w:r>
            <w:r>
              <w:rPr>
                <w:rFonts w:hint="default" w:ascii="Times New Roman" w:hAnsi="Times New Roman" w:eastAsia="仿宋_GB2312" w:cs="Times New Roman"/>
                <w:snapToGrid/>
                <w:color w:val="000000"/>
                <w:spacing w:val="0"/>
                <w:w w:val="100"/>
                <w:kern w:val="0"/>
                <w:position w:val="0"/>
                <w:sz w:val="21"/>
                <w:szCs w:val="21"/>
                <w:shd w:val="clear" w:color="auto" w:fill="auto"/>
              </w:rPr>
              <w:t>）校外机构应具有稳定的办学经费来源，培训机构</w:t>
            </w:r>
            <w:r>
              <w:rPr>
                <w:rFonts w:hint="eastAsia" w:ascii="Times New Roman" w:hAnsi="Times New Roman" w:eastAsia="仿宋_GB2312" w:cs="Times New Roman"/>
                <w:snapToGrid/>
                <w:color w:val="000000"/>
                <w:spacing w:val="0"/>
                <w:w w:val="100"/>
                <w:kern w:val="0"/>
                <w:position w:val="0"/>
                <w:sz w:val="21"/>
                <w:szCs w:val="21"/>
                <w:shd w:val="clear" w:color="auto" w:fill="auto"/>
                <w:lang w:eastAsia="zh-CN"/>
              </w:rPr>
              <w:t>账户最低余额</w:t>
            </w:r>
            <w:r>
              <w:rPr>
                <w:rFonts w:hint="default" w:ascii="Times New Roman" w:hAnsi="Times New Roman" w:eastAsia="仿宋_GB2312" w:cs="Times New Roman"/>
                <w:snapToGrid/>
                <w:color w:val="000000"/>
                <w:spacing w:val="0"/>
                <w:w w:val="100"/>
                <w:kern w:val="0"/>
                <w:position w:val="0"/>
                <w:sz w:val="21"/>
                <w:szCs w:val="21"/>
                <w:shd w:val="clear" w:color="auto" w:fill="auto"/>
              </w:rPr>
              <w:t>不应少于</w:t>
            </w:r>
            <w:r>
              <w:rPr>
                <w:rFonts w:hint="default" w:ascii="Times New Roman" w:hAnsi="Times New Roman" w:eastAsia="仿宋_GB2312" w:cs="Times New Roman"/>
                <w:snapToGrid/>
                <w:color w:val="000000"/>
                <w:spacing w:val="0"/>
                <w:w w:val="100"/>
                <w:kern w:val="0"/>
                <w:position w:val="0"/>
                <w:sz w:val="21"/>
                <w:szCs w:val="21"/>
                <w:shd w:val="clear" w:color="auto" w:fill="auto"/>
                <w:lang w:eastAsia="zh-CN"/>
              </w:rPr>
              <w:t>当年收费总额的</w:t>
            </w:r>
            <w:r>
              <w:rPr>
                <w:rFonts w:hint="default" w:ascii="Times New Roman" w:hAnsi="Times New Roman" w:eastAsia="仿宋_GB2312" w:cs="Times New Roman"/>
                <w:snapToGrid/>
                <w:color w:val="000000"/>
                <w:spacing w:val="0"/>
                <w:w w:val="100"/>
                <w:kern w:val="0"/>
                <w:position w:val="0"/>
                <w:sz w:val="21"/>
                <w:szCs w:val="21"/>
                <w:shd w:val="clear" w:color="auto" w:fill="auto"/>
                <w:lang w:val="en-US" w:eastAsia="zh-CN"/>
              </w:rPr>
              <w:t>3%</w:t>
            </w:r>
            <w:r>
              <w:rPr>
                <w:rFonts w:hint="eastAsia" w:ascii="Times New Roman" w:hAnsi="Times New Roman" w:eastAsia="仿宋_GB2312" w:cs="Times New Roman"/>
                <w:snapToGrid/>
                <w:color w:val="000000"/>
                <w:spacing w:val="0"/>
                <w:w w:val="100"/>
                <w:kern w:val="0"/>
                <w:position w:val="0"/>
                <w:sz w:val="21"/>
                <w:szCs w:val="21"/>
                <w:shd w:val="clear" w:color="auto" w:fill="auto"/>
                <w:lang w:val="en-US" w:eastAsia="zh-CN"/>
              </w:rPr>
              <w:t>（最高20万元）</w:t>
            </w:r>
            <w:r>
              <w:rPr>
                <w:rFonts w:hint="default" w:ascii="Times New Roman" w:hAnsi="Times New Roman" w:eastAsia="仿宋_GB2312" w:cs="Times New Roman"/>
                <w:snapToGrid/>
                <w:color w:val="000000"/>
                <w:spacing w:val="0"/>
                <w:w w:val="100"/>
                <w:kern w:val="0"/>
                <w:position w:val="0"/>
                <w:sz w:val="21"/>
                <w:szCs w:val="21"/>
                <w:shd w:val="clear" w:color="auto" w:fill="auto"/>
              </w:rPr>
              <w:t>。（</w:t>
            </w:r>
            <w:r>
              <w:rPr>
                <w:rFonts w:hint="default" w:ascii="Times New Roman" w:hAnsi="Times New Roman" w:eastAsia="仿宋_GB2312" w:cs="Times New Roman"/>
                <w:snapToGrid/>
                <w:color w:val="000000"/>
                <w:spacing w:val="0"/>
                <w:w w:val="100"/>
                <w:kern w:val="0"/>
                <w:position w:val="0"/>
                <w:sz w:val="21"/>
                <w:szCs w:val="21"/>
                <w:shd w:val="clear" w:color="auto" w:fill="auto"/>
                <w:lang w:val="en-US" w:eastAsia="zh-CN"/>
              </w:rPr>
              <w:t>3</w:t>
            </w:r>
            <w:r>
              <w:rPr>
                <w:rFonts w:hint="default" w:ascii="Times New Roman" w:hAnsi="Times New Roman" w:eastAsia="仿宋_GB2312" w:cs="Times New Roman"/>
                <w:snapToGrid/>
                <w:color w:val="000000"/>
                <w:spacing w:val="0"/>
                <w:w w:val="100"/>
                <w:kern w:val="0"/>
                <w:position w:val="0"/>
                <w:sz w:val="21"/>
                <w:szCs w:val="21"/>
                <w:shd w:val="clear" w:color="auto" w:fill="auto"/>
              </w:rPr>
              <w:t>）培训机构应在每个会计年度结束时制作财务会计报告，委托会计师事务所依法进行审计，并公开审计结果，资产的使用和财务管理接受审批机关和其他有关部门的监督，确保至少连续三年审计合格。（</w:t>
            </w:r>
            <w:r>
              <w:rPr>
                <w:rFonts w:hint="default" w:ascii="Times New Roman" w:hAnsi="Times New Roman" w:eastAsia="仿宋_GB2312" w:cs="Times New Roman"/>
                <w:snapToGrid/>
                <w:color w:val="000000"/>
                <w:spacing w:val="0"/>
                <w:w w:val="100"/>
                <w:kern w:val="0"/>
                <w:position w:val="0"/>
                <w:sz w:val="21"/>
                <w:szCs w:val="21"/>
                <w:shd w:val="clear" w:color="auto" w:fill="auto"/>
                <w:lang w:val="en-US" w:eastAsia="zh-CN"/>
              </w:rPr>
              <w:t>4</w:t>
            </w:r>
            <w:r>
              <w:rPr>
                <w:rFonts w:hint="default" w:ascii="Times New Roman" w:hAnsi="Times New Roman" w:eastAsia="仿宋_GB2312" w:cs="Times New Roman"/>
                <w:snapToGrid/>
                <w:color w:val="000000"/>
                <w:spacing w:val="0"/>
                <w:w w:val="100"/>
                <w:kern w:val="0"/>
                <w:position w:val="0"/>
                <w:sz w:val="21"/>
                <w:szCs w:val="21"/>
                <w:shd w:val="clear" w:color="auto" w:fill="auto"/>
              </w:rPr>
              <w:t>）能按国家法律规定，每年划出一定数额的学校发展基金，并逐年增长。</w:t>
            </w:r>
          </w:p>
        </w:tc>
        <w:tc>
          <w:tcPr>
            <w:tcW w:w="1696"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全部条件都符合得</w:t>
            </w:r>
            <w:r>
              <w:rPr>
                <w:rFonts w:hint="default" w:ascii="Times New Roman" w:hAnsi="Times New Roman" w:eastAsia="仿宋_GB2312" w:cs="Times New Roman"/>
                <w:snapToGrid/>
                <w:color w:val="000000"/>
                <w:spacing w:val="0"/>
                <w:w w:val="100"/>
                <w:kern w:val="0"/>
                <w:position w:val="0"/>
                <w:sz w:val="21"/>
                <w:szCs w:val="21"/>
                <w:shd w:val="clear" w:color="auto" w:fill="auto"/>
                <w:lang w:val="en-US" w:eastAsia="zh-CN"/>
              </w:rPr>
              <w:t>11</w:t>
            </w:r>
            <w:r>
              <w:rPr>
                <w:rFonts w:hint="default" w:ascii="Times New Roman" w:hAnsi="Times New Roman" w:eastAsia="仿宋_GB2312" w:cs="Times New Roman"/>
                <w:snapToGrid/>
                <w:color w:val="000000"/>
                <w:spacing w:val="0"/>
                <w:w w:val="100"/>
                <w:kern w:val="0"/>
                <w:position w:val="0"/>
                <w:sz w:val="21"/>
                <w:szCs w:val="21"/>
                <w:shd w:val="clear" w:color="auto" w:fill="auto"/>
              </w:rPr>
              <w:t>分，</w:t>
            </w:r>
            <w:r>
              <w:rPr>
                <w:rFonts w:hint="default" w:ascii="Times New Roman" w:hAnsi="Times New Roman" w:eastAsia="仿宋_GB2312" w:cs="Times New Roman"/>
                <w:snapToGrid/>
                <w:color w:val="000000"/>
                <w:spacing w:val="0"/>
                <w:w w:val="100"/>
                <w:kern w:val="0"/>
                <w:position w:val="0"/>
                <w:sz w:val="21"/>
                <w:szCs w:val="21"/>
                <w:shd w:val="clear" w:color="auto" w:fill="auto"/>
                <w:lang w:eastAsia="zh-CN"/>
              </w:rPr>
              <w:t>缺第一项扣</w:t>
            </w:r>
            <w:r>
              <w:rPr>
                <w:rFonts w:hint="default" w:ascii="Times New Roman" w:hAnsi="Times New Roman" w:eastAsia="仿宋_GB2312" w:cs="Times New Roman"/>
                <w:snapToGrid/>
                <w:color w:val="000000"/>
                <w:spacing w:val="0"/>
                <w:w w:val="100"/>
                <w:kern w:val="0"/>
                <w:position w:val="0"/>
                <w:sz w:val="21"/>
                <w:szCs w:val="21"/>
                <w:shd w:val="clear" w:color="auto" w:fill="auto"/>
                <w:lang w:val="en-US" w:eastAsia="zh-CN"/>
              </w:rPr>
              <w:t>8分，其他</w:t>
            </w:r>
            <w:r>
              <w:rPr>
                <w:rFonts w:hint="default" w:ascii="Times New Roman" w:hAnsi="Times New Roman" w:eastAsia="仿宋_GB2312" w:cs="Times New Roman"/>
                <w:snapToGrid/>
                <w:color w:val="000000"/>
                <w:spacing w:val="0"/>
                <w:w w:val="100"/>
                <w:kern w:val="0"/>
                <w:position w:val="0"/>
                <w:sz w:val="21"/>
                <w:szCs w:val="21"/>
                <w:shd w:val="clear" w:color="auto" w:fill="auto"/>
              </w:rPr>
              <w:t>每缺一项扣2分</w:t>
            </w:r>
            <w:r>
              <w:rPr>
                <w:rFonts w:hint="default" w:ascii="Times New Roman" w:hAnsi="Times New Roman" w:eastAsia="仿宋_GB2312" w:cs="Times New Roman"/>
                <w:snapToGrid/>
                <w:color w:val="000000"/>
                <w:spacing w:val="0"/>
                <w:w w:val="100"/>
                <w:kern w:val="0"/>
                <w:position w:val="0"/>
                <w:sz w:val="21"/>
                <w:szCs w:val="21"/>
                <w:shd w:val="clear" w:color="auto" w:fill="auto"/>
                <w:lang w:eastAsia="zh-CN"/>
              </w:rPr>
              <w:t>，扣完为止</w:t>
            </w:r>
            <w:r>
              <w:rPr>
                <w:rFonts w:hint="default" w:ascii="Times New Roman" w:hAnsi="Times New Roman" w:eastAsia="仿宋_GB2312" w:cs="Times New Roman"/>
                <w:snapToGrid/>
                <w:color w:val="000000"/>
                <w:spacing w:val="0"/>
                <w:w w:val="100"/>
                <w:kern w:val="0"/>
                <w:position w:val="0"/>
                <w:sz w:val="21"/>
                <w:szCs w:val="21"/>
                <w:shd w:val="clear" w:color="auto" w:fill="auto"/>
              </w:rPr>
              <w:t>。</w:t>
            </w:r>
          </w:p>
        </w:tc>
        <w:tc>
          <w:tcPr>
            <w:tcW w:w="508"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r>
      <w:tr>
        <w:tblPrEx>
          <w:tblCellMar>
            <w:top w:w="0" w:type="dxa"/>
            <w:left w:w="10" w:type="dxa"/>
            <w:bottom w:w="0" w:type="dxa"/>
            <w:right w:w="10" w:type="dxa"/>
          </w:tblCellMar>
        </w:tblPrEx>
        <w:trPr>
          <w:trHeight w:val="3150" w:hRule="exact"/>
          <w:jc w:val="center"/>
        </w:trPr>
        <w:tc>
          <w:tcPr>
            <w:tcW w:w="641" w:type="dxa"/>
            <w:vMerge w:val="continue"/>
            <w:tcBorders>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pPr>
          </w:p>
        </w:tc>
        <w:tc>
          <w:tcPr>
            <w:tcW w:w="641"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snapToGrid/>
                <w:color w:val="000000"/>
                <w:spacing w:val="0"/>
                <w:w w:val="100"/>
                <w:kern w:val="0"/>
                <w:position w:val="0"/>
                <w:sz w:val="21"/>
                <w:szCs w:val="21"/>
                <w:shd w:val="clear" w:color="auto" w:fill="auto"/>
              </w:rPr>
              <w:t>法规</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执行</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right="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lang w:val="en-US" w:eastAsia="zh-CN"/>
              </w:rPr>
              <w:t>1</w:t>
            </w:r>
            <w:r>
              <w:rPr>
                <w:rFonts w:hint="eastAsia" w:ascii="Times New Roman" w:hAnsi="Times New Roman" w:eastAsia="仿宋_GB2312" w:cs="Times New Roman"/>
                <w:snapToGrid/>
                <w:color w:val="000000"/>
                <w:spacing w:val="0"/>
                <w:w w:val="100"/>
                <w:kern w:val="0"/>
                <w:position w:val="0"/>
                <w:sz w:val="21"/>
                <w:szCs w:val="21"/>
                <w:shd w:val="clear" w:color="auto" w:fill="auto"/>
                <w:lang w:val="en-US" w:eastAsia="zh-CN"/>
              </w:rPr>
              <w:t>6</w:t>
            </w:r>
            <w:r>
              <w:rPr>
                <w:rFonts w:hint="default" w:ascii="Times New Roman" w:hAnsi="Times New Roman" w:eastAsia="仿宋_GB2312" w:cs="Times New Roman"/>
                <w:snapToGrid/>
                <w:color w:val="000000"/>
                <w:spacing w:val="0"/>
                <w:w w:val="100"/>
                <w:kern w:val="0"/>
                <w:position w:val="0"/>
                <w:sz w:val="21"/>
                <w:szCs w:val="21"/>
                <w:shd w:val="clear" w:color="auto" w:fill="auto"/>
              </w:rPr>
              <w:t>分</w:t>
            </w:r>
          </w:p>
        </w:tc>
        <w:tc>
          <w:tcPr>
            <w:tcW w:w="6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★办学行为</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eastAsia" w:ascii="Times New Roman" w:hAnsi="Times New Roman" w:eastAsia="仿宋_GB2312" w:cs="Times New Roman"/>
                <w:snapToGrid/>
                <w:color w:val="000000"/>
                <w:spacing w:val="0"/>
                <w:w w:val="100"/>
                <w:kern w:val="0"/>
                <w:position w:val="0"/>
                <w:sz w:val="21"/>
                <w:szCs w:val="21"/>
                <w:shd w:val="clear" w:color="auto" w:fill="auto"/>
                <w:lang w:val="en-US" w:eastAsia="zh-CN"/>
              </w:rPr>
              <w:t>16</w:t>
            </w:r>
            <w:r>
              <w:rPr>
                <w:rFonts w:hint="default" w:ascii="Times New Roman" w:hAnsi="Times New Roman" w:eastAsia="仿宋_GB2312" w:cs="Times New Roman"/>
                <w:snapToGrid/>
                <w:color w:val="000000"/>
                <w:spacing w:val="0"/>
                <w:w w:val="100"/>
                <w:kern w:val="0"/>
                <w:position w:val="0"/>
                <w:sz w:val="21"/>
                <w:szCs w:val="21"/>
                <w:shd w:val="clear" w:color="auto" w:fill="auto"/>
              </w:rPr>
              <w:t>分</w:t>
            </w:r>
          </w:p>
        </w:tc>
        <w:tc>
          <w:tcPr>
            <w:tcW w:w="4197"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1）严禁传播不良思想言论，传播宗教思想；（2）严禁聘用在职中小学教师到培训机构兼职任教；（3）严禁以任何形式到中小学校内进行招生宣传；（4）严禁组织招生考试或变相考试，以任何形式宣称或暗示培训结果与中小学招生挂钩，或将测试结果推荐给中小学选拔生源；（5）不得举办、承办、协办以及组织、诱导学生参加包括“奥数”华赛”等在内的所有非政府部门举办或认可的学科竞赛、考级活动</w:t>
            </w:r>
            <w:r>
              <w:rPr>
                <w:rFonts w:hint="eastAsia" w:ascii="Times New Roman" w:hAnsi="Times New Roman" w:eastAsia="仿宋_GB2312" w:cs="Times New Roman"/>
                <w:snapToGrid/>
                <w:color w:val="000000"/>
                <w:spacing w:val="0"/>
                <w:w w:val="100"/>
                <w:kern w:val="0"/>
                <w:position w:val="0"/>
                <w:sz w:val="21"/>
                <w:szCs w:val="21"/>
                <w:shd w:val="clear" w:color="auto" w:fill="auto"/>
                <w:lang w:eastAsia="zh-CN"/>
              </w:rPr>
              <w:t>；（</w:t>
            </w:r>
            <w:r>
              <w:rPr>
                <w:rFonts w:hint="eastAsia" w:ascii="Times New Roman" w:hAnsi="Times New Roman" w:eastAsia="仿宋_GB2312" w:cs="Times New Roman"/>
                <w:snapToGrid/>
                <w:color w:val="000000"/>
                <w:spacing w:val="0"/>
                <w:w w:val="100"/>
                <w:kern w:val="0"/>
                <w:position w:val="0"/>
                <w:sz w:val="21"/>
                <w:szCs w:val="21"/>
                <w:shd w:val="clear" w:color="auto" w:fill="auto"/>
                <w:lang w:val="en-US" w:eastAsia="zh-CN"/>
              </w:rPr>
              <w:t>6</w:t>
            </w:r>
            <w:r>
              <w:rPr>
                <w:rFonts w:hint="eastAsia" w:ascii="Times New Roman" w:hAnsi="Times New Roman" w:eastAsia="仿宋_GB2312" w:cs="Times New Roman"/>
                <w:snapToGrid/>
                <w:color w:val="000000"/>
                <w:spacing w:val="0"/>
                <w:w w:val="100"/>
                <w:kern w:val="0"/>
                <w:position w:val="0"/>
                <w:sz w:val="21"/>
                <w:szCs w:val="21"/>
                <w:shd w:val="clear" w:color="auto" w:fill="auto"/>
                <w:lang w:eastAsia="zh-CN"/>
              </w:rPr>
              <w:t>）</w:t>
            </w:r>
            <w:r>
              <w:rPr>
                <w:rFonts w:hint="default" w:ascii="Times New Roman" w:hAnsi="Times New Roman" w:eastAsia="仿宋_GB2312" w:cs="Times New Roman"/>
                <w:snapToGrid/>
                <w:color w:val="000000"/>
                <w:spacing w:val="0"/>
                <w:w w:val="100"/>
                <w:kern w:val="0"/>
                <w:position w:val="0"/>
                <w:sz w:val="21"/>
                <w:szCs w:val="21"/>
                <w:shd w:val="clear" w:color="auto" w:fill="auto"/>
              </w:rPr>
              <w:t>不得为上述竞赛或活动提供场地设施、宣传渠道、培训、考务服务等。</w:t>
            </w:r>
          </w:p>
        </w:tc>
        <w:tc>
          <w:tcPr>
            <w:tcW w:w="1696"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eastAsia" w:ascii="Times New Roman" w:hAnsi="Times New Roman" w:eastAsia="仿宋_GB2312" w:cs="Times New Roman"/>
                <w:snapToGrid/>
                <w:kern w:val="0"/>
                <w:sz w:val="21"/>
                <w:szCs w:val="21"/>
                <w:lang w:eastAsia="zh-CN"/>
              </w:rPr>
            </w:pPr>
            <w:r>
              <w:rPr>
                <w:rFonts w:hint="default" w:ascii="Times New Roman" w:hAnsi="Times New Roman" w:eastAsia="仿宋_GB2312" w:cs="Times New Roman"/>
                <w:snapToGrid/>
                <w:color w:val="000000"/>
                <w:spacing w:val="0"/>
                <w:w w:val="100"/>
                <w:kern w:val="0"/>
                <w:position w:val="0"/>
                <w:sz w:val="21"/>
                <w:szCs w:val="21"/>
                <w:shd w:val="clear" w:color="auto" w:fill="auto"/>
              </w:rPr>
              <w:t>全部条件都符合得</w:t>
            </w:r>
            <w:r>
              <w:rPr>
                <w:rFonts w:hint="eastAsia" w:ascii="Times New Roman" w:hAnsi="Times New Roman" w:eastAsia="仿宋_GB2312" w:cs="Times New Roman"/>
                <w:snapToGrid/>
                <w:color w:val="000000"/>
                <w:spacing w:val="0"/>
                <w:w w:val="100"/>
                <w:kern w:val="0"/>
                <w:position w:val="0"/>
                <w:sz w:val="21"/>
                <w:szCs w:val="21"/>
                <w:shd w:val="clear" w:color="auto" w:fill="auto"/>
                <w:lang w:val="en-US" w:eastAsia="zh-CN"/>
              </w:rPr>
              <w:t>16</w:t>
            </w:r>
            <w:r>
              <w:rPr>
                <w:rFonts w:hint="default" w:ascii="Times New Roman" w:hAnsi="Times New Roman" w:eastAsia="仿宋_GB2312" w:cs="Times New Roman"/>
                <w:snapToGrid/>
                <w:color w:val="000000"/>
                <w:spacing w:val="0"/>
                <w:w w:val="100"/>
                <w:kern w:val="0"/>
                <w:position w:val="0"/>
                <w:sz w:val="21"/>
                <w:szCs w:val="21"/>
                <w:shd w:val="clear" w:color="auto" w:fill="auto"/>
              </w:rPr>
              <w:t>分，每缺一项扣</w:t>
            </w:r>
            <w:r>
              <w:rPr>
                <w:rFonts w:hint="eastAsia" w:ascii="Times New Roman" w:hAnsi="Times New Roman" w:eastAsia="仿宋_GB2312" w:cs="Times New Roman"/>
                <w:snapToGrid/>
                <w:color w:val="000000"/>
                <w:spacing w:val="0"/>
                <w:w w:val="100"/>
                <w:kern w:val="0"/>
                <w:position w:val="0"/>
                <w:sz w:val="21"/>
                <w:szCs w:val="21"/>
                <w:shd w:val="clear" w:color="auto" w:fill="auto"/>
                <w:lang w:val="en-US" w:eastAsia="zh-CN"/>
              </w:rPr>
              <w:t>3</w:t>
            </w:r>
            <w:r>
              <w:rPr>
                <w:rFonts w:hint="default" w:ascii="Times New Roman" w:hAnsi="Times New Roman" w:eastAsia="仿宋_GB2312" w:cs="Times New Roman"/>
                <w:snapToGrid/>
                <w:color w:val="000000"/>
                <w:spacing w:val="0"/>
                <w:w w:val="100"/>
                <w:kern w:val="0"/>
                <w:position w:val="0"/>
                <w:sz w:val="21"/>
                <w:szCs w:val="21"/>
                <w:shd w:val="clear" w:color="auto" w:fill="auto"/>
              </w:rPr>
              <w:t>分</w:t>
            </w:r>
            <w:r>
              <w:rPr>
                <w:rFonts w:hint="eastAsia" w:ascii="Times New Roman" w:hAnsi="Times New Roman" w:eastAsia="仿宋_GB2312" w:cs="Times New Roman"/>
                <w:snapToGrid/>
                <w:color w:val="000000"/>
                <w:spacing w:val="0"/>
                <w:w w:val="100"/>
                <w:kern w:val="0"/>
                <w:position w:val="0"/>
                <w:sz w:val="21"/>
                <w:szCs w:val="21"/>
                <w:shd w:val="clear" w:color="auto" w:fill="auto"/>
                <w:lang w:eastAsia="zh-CN"/>
              </w:rPr>
              <w:t>，扣完为止。</w:t>
            </w:r>
          </w:p>
        </w:tc>
        <w:tc>
          <w:tcPr>
            <w:tcW w:w="508"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r>
      <w:tr>
        <w:tblPrEx>
          <w:tblCellMar>
            <w:top w:w="0" w:type="dxa"/>
            <w:left w:w="10" w:type="dxa"/>
            <w:bottom w:w="0" w:type="dxa"/>
            <w:right w:w="10" w:type="dxa"/>
          </w:tblCellMar>
        </w:tblPrEx>
        <w:trPr>
          <w:trHeight w:val="1744" w:hRule="exact"/>
          <w:jc w:val="center"/>
        </w:trPr>
        <w:tc>
          <w:tcPr>
            <w:tcW w:w="641"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pPr>
            <w:r>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t>创</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pPr>
            <w:r>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t>新</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pPr>
            <w:r>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t>举</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b w:val="0"/>
                <w:bCs w:val="0"/>
                <w:snapToGrid/>
                <w:color w:val="000000"/>
                <w:spacing w:val="0"/>
                <w:w w:val="100"/>
                <w:kern w:val="0"/>
                <w:position w:val="0"/>
                <w:sz w:val="44"/>
                <w:szCs w:val="44"/>
                <w:shd w:val="clear" w:color="auto" w:fill="auto"/>
              </w:rPr>
              <w:t>措</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10分</w:t>
            </w:r>
          </w:p>
        </w:tc>
        <w:tc>
          <w:tcPr>
            <w:tcW w:w="641"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snapToGrid/>
                <w:color w:val="000000"/>
                <w:spacing w:val="0"/>
                <w:w w:val="100"/>
                <w:kern w:val="0"/>
                <w:position w:val="0"/>
                <w:sz w:val="21"/>
                <w:szCs w:val="21"/>
                <w:shd w:val="clear" w:color="auto" w:fill="auto"/>
              </w:rPr>
              <w:t>办学</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snapToGrid/>
                <w:color w:val="000000"/>
                <w:spacing w:val="0"/>
                <w:w w:val="100"/>
                <w:kern w:val="0"/>
                <w:position w:val="0"/>
                <w:sz w:val="21"/>
                <w:szCs w:val="21"/>
                <w:shd w:val="clear" w:color="auto" w:fill="auto"/>
              </w:rPr>
              <w:t>特色</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10分</w:t>
            </w:r>
          </w:p>
        </w:tc>
        <w:tc>
          <w:tcPr>
            <w:tcW w:w="625"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1"/>
                <w:szCs w:val="21"/>
                <w:shd w:val="clear" w:color="auto" w:fill="auto"/>
              </w:rPr>
            </w:pPr>
            <w:r>
              <w:rPr>
                <w:rFonts w:hint="default" w:ascii="Times New Roman" w:hAnsi="Times New Roman" w:eastAsia="仿宋_GB2312" w:cs="Times New Roman"/>
                <w:snapToGrid/>
                <w:color w:val="000000"/>
                <w:spacing w:val="0"/>
                <w:w w:val="100"/>
                <w:kern w:val="0"/>
                <w:position w:val="0"/>
                <w:sz w:val="21"/>
                <w:szCs w:val="21"/>
                <w:shd w:val="clear" w:color="auto" w:fill="auto"/>
              </w:rPr>
              <w:t>★育人特色</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eastAsia" w:ascii="Times New Roman" w:hAnsi="Times New Roman" w:eastAsia="仿宋_GB2312" w:cs="Times New Roman"/>
                <w:snapToGrid/>
                <w:color w:val="000000"/>
                <w:spacing w:val="0"/>
                <w:w w:val="100"/>
                <w:kern w:val="0"/>
                <w:position w:val="0"/>
                <w:sz w:val="21"/>
                <w:szCs w:val="21"/>
                <w:shd w:val="clear" w:color="auto" w:fill="auto"/>
                <w:lang w:val="en-US" w:eastAsia="zh-CN"/>
              </w:rPr>
              <w:t>5</w:t>
            </w:r>
            <w:r>
              <w:rPr>
                <w:rFonts w:hint="default" w:ascii="Times New Roman" w:hAnsi="Times New Roman" w:eastAsia="仿宋_GB2312" w:cs="Times New Roman"/>
                <w:snapToGrid/>
                <w:color w:val="000000"/>
                <w:spacing w:val="0"/>
                <w:w w:val="100"/>
                <w:kern w:val="0"/>
                <w:position w:val="0"/>
                <w:sz w:val="21"/>
                <w:szCs w:val="21"/>
                <w:shd w:val="clear" w:color="auto" w:fill="auto"/>
              </w:rPr>
              <w:t>分</w:t>
            </w:r>
          </w:p>
        </w:tc>
        <w:tc>
          <w:tcPr>
            <w:tcW w:w="4197"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服务学生的兴趣和能力特殊发展需求，教学培训具有创新性；课程效果受到学生、家长的高度认可</w:t>
            </w:r>
            <w:r>
              <w:rPr>
                <w:rFonts w:hint="eastAsia" w:ascii="Times New Roman" w:hAnsi="Times New Roman" w:eastAsia="仿宋_GB2312" w:cs="Times New Roman"/>
                <w:snapToGrid/>
                <w:color w:val="000000"/>
                <w:spacing w:val="0"/>
                <w:w w:val="100"/>
                <w:kern w:val="0"/>
                <w:position w:val="0"/>
                <w:sz w:val="21"/>
                <w:szCs w:val="21"/>
                <w:shd w:val="clear" w:color="auto" w:fill="auto"/>
                <w:lang w:eastAsia="zh-CN"/>
              </w:rPr>
              <w:t>；</w:t>
            </w:r>
            <w:r>
              <w:rPr>
                <w:rFonts w:hint="default" w:ascii="Times New Roman" w:hAnsi="Times New Roman" w:eastAsia="仿宋_GB2312" w:cs="Times New Roman"/>
                <w:snapToGrid/>
                <w:color w:val="000000"/>
                <w:spacing w:val="0"/>
                <w:w w:val="100"/>
                <w:kern w:val="0"/>
                <w:position w:val="0"/>
                <w:sz w:val="21"/>
                <w:szCs w:val="21"/>
                <w:shd w:val="clear" w:color="auto" w:fill="auto"/>
              </w:rPr>
              <w:t>开展先进教育教学模式实践，并形成规模成效。</w:t>
            </w:r>
          </w:p>
        </w:tc>
        <w:tc>
          <w:tcPr>
            <w:tcW w:w="1696" w:type="dxa"/>
            <w:tcBorders>
              <w:top w:val="single" w:color="auto" w:sz="4" w:space="0"/>
              <w:lef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eastAsia" w:ascii="Times New Roman" w:hAnsi="Times New Roman" w:eastAsia="仿宋_GB2312" w:cs="Times New Roman"/>
                <w:snapToGrid/>
                <w:kern w:val="0"/>
                <w:sz w:val="21"/>
                <w:szCs w:val="21"/>
                <w:lang w:eastAsia="zh-CN"/>
              </w:rPr>
            </w:pPr>
            <w:r>
              <w:rPr>
                <w:rFonts w:hint="default" w:ascii="Times New Roman" w:hAnsi="Times New Roman" w:eastAsia="仿宋_GB2312" w:cs="Times New Roman"/>
                <w:snapToGrid/>
                <w:color w:val="000000"/>
                <w:spacing w:val="0"/>
                <w:w w:val="100"/>
                <w:kern w:val="0"/>
                <w:position w:val="0"/>
                <w:sz w:val="21"/>
                <w:szCs w:val="21"/>
                <w:shd w:val="clear" w:color="auto" w:fill="auto"/>
              </w:rPr>
              <w:t>服务重点、创新性、</w:t>
            </w:r>
            <w:r>
              <w:rPr>
                <w:rFonts w:hint="eastAsia" w:ascii="Times New Roman" w:hAnsi="Times New Roman" w:eastAsia="仿宋_GB2312" w:cs="Times New Roman"/>
                <w:snapToGrid/>
                <w:color w:val="000000"/>
                <w:spacing w:val="0"/>
                <w:w w:val="100"/>
                <w:kern w:val="0"/>
                <w:position w:val="0"/>
                <w:sz w:val="21"/>
                <w:szCs w:val="21"/>
                <w:shd w:val="clear" w:color="auto" w:fill="auto"/>
                <w:lang w:eastAsia="zh-CN"/>
              </w:rPr>
              <w:t>认可度、</w:t>
            </w:r>
            <w:r>
              <w:rPr>
                <w:rFonts w:hint="default" w:ascii="Times New Roman" w:hAnsi="Times New Roman" w:eastAsia="仿宋_GB2312" w:cs="Times New Roman"/>
                <w:snapToGrid/>
                <w:color w:val="000000"/>
                <w:spacing w:val="0"/>
                <w:w w:val="100"/>
                <w:kern w:val="0"/>
                <w:position w:val="0"/>
                <w:sz w:val="21"/>
                <w:szCs w:val="21"/>
                <w:shd w:val="clear" w:color="auto" w:fill="auto"/>
              </w:rPr>
              <w:t>创新实践等都符合得</w:t>
            </w:r>
            <w:r>
              <w:rPr>
                <w:rFonts w:hint="eastAsia" w:ascii="Times New Roman" w:hAnsi="Times New Roman" w:eastAsia="仿宋_GB2312" w:cs="Times New Roman"/>
                <w:snapToGrid/>
                <w:color w:val="000000"/>
                <w:spacing w:val="0"/>
                <w:w w:val="100"/>
                <w:kern w:val="0"/>
                <w:position w:val="0"/>
                <w:sz w:val="21"/>
                <w:szCs w:val="21"/>
                <w:shd w:val="clear" w:color="auto" w:fill="auto"/>
                <w:lang w:val="en-US" w:eastAsia="zh-CN"/>
              </w:rPr>
              <w:t>5</w:t>
            </w:r>
            <w:r>
              <w:rPr>
                <w:rFonts w:hint="default" w:ascii="Times New Roman" w:hAnsi="Times New Roman" w:eastAsia="仿宋_GB2312" w:cs="Times New Roman"/>
                <w:snapToGrid/>
                <w:color w:val="000000"/>
                <w:spacing w:val="0"/>
                <w:w w:val="100"/>
                <w:kern w:val="0"/>
                <w:position w:val="0"/>
                <w:sz w:val="21"/>
                <w:szCs w:val="21"/>
                <w:shd w:val="clear" w:color="auto" w:fill="auto"/>
              </w:rPr>
              <w:t>分，每缺一项扣</w:t>
            </w:r>
            <w:r>
              <w:rPr>
                <w:rFonts w:hint="eastAsia" w:ascii="Times New Roman" w:hAnsi="Times New Roman" w:eastAsia="仿宋_GB2312" w:cs="Times New Roman"/>
                <w:snapToGrid/>
                <w:color w:val="000000"/>
                <w:spacing w:val="0"/>
                <w:w w:val="100"/>
                <w:kern w:val="0"/>
                <w:position w:val="0"/>
                <w:sz w:val="21"/>
                <w:szCs w:val="21"/>
                <w:shd w:val="clear" w:color="auto" w:fill="auto"/>
                <w:lang w:val="en-US" w:eastAsia="zh-CN"/>
              </w:rPr>
              <w:t>2</w:t>
            </w:r>
            <w:r>
              <w:rPr>
                <w:rFonts w:hint="default" w:ascii="Times New Roman" w:hAnsi="Times New Roman" w:eastAsia="仿宋_GB2312" w:cs="Times New Roman"/>
                <w:snapToGrid/>
                <w:color w:val="000000"/>
                <w:spacing w:val="0"/>
                <w:w w:val="100"/>
                <w:kern w:val="0"/>
                <w:position w:val="0"/>
                <w:sz w:val="21"/>
                <w:szCs w:val="21"/>
                <w:shd w:val="clear" w:color="auto" w:fill="auto"/>
              </w:rPr>
              <w:t>分</w:t>
            </w:r>
            <w:r>
              <w:rPr>
                <w:rFonts w:hint="eastAsia" w:ascii="Times New Roman" w:hAnsi="Times New Roman" w:eastAsia="仿宋_GB2312" w:cs="Times New Roman"/>
                <w:snapToGrid/>
                <w:color w:val="000000"/>
                <w:spacing w:val="0"/>
                <w:w w:val="100"/>
                <w:kern w:val="0"/>
                <w:position w:val="0"/>
                <w:sz w:val="21"/>
                <w:szCs w:val="21"/>
                <w:shd w:val="clear" w:color="auto" w:fill="auto"/>
                <w:lang w:eastAsia="zh-CN"/>
              </w:rPr>
              <w:t>，扣完为止。</w:t>
            </w:r>
          </w:p>
        </w:tc>
        <w:tc>
          <w:tcPr>
            <w:tcW w:w="508"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r>
      <w:tr>
        <w:tblPrEx>
          <w:tblCellMar>
            <w:top w:w="0" w:type="dxa"/>
            <w:left w:w="10" w:type="dxa"/>
            <w:bottom w:w="0" w:type="dxa"/>
            <w:right w:w="10" w:type="dxa"/>
          </w:tblCellMar>
        </w:tblPrEx>
        <w:trPr>
          <w:trHeight w:val="2362" w:hRule="exact"/>
          <w:jc w:val="center"/>
        </w:trPr>
        <w:tc>
          <w:tcPr>
            <w:tcW w:w="641" w:type="dxa"/>
            <w:vMerge w:val="continue"/>
            <w:tcBorders>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pPr>
          </w:p>
        </w:tc>
        <w:tc>
          <w:tcPr>
            <w:tcW w:w="641" w:type="dxa"/>
            <w:vMerge w:val="continue"/>
            <w:tcBorders>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center"/>
              <w:textAlignment w:val="auto"/>
              <w:rPr>
                <w:rFonts w:hint="default" w:ascii="Times New Roman" w:hAnsi="Times New Roman" w:eastAsia="仿宋_GB2312" w:cs="Times New Roman"/>
                <w:snapToGrid/>
                <w:color w:val="000000"/>
                <w:spacing w:val="0"/>
                <w:w w:val="100"/>
                <w:kern w:val="0"/>
                <w:position w:val="0"/>
                <w:sz w:val="28"/>
                <w:szCs w:val="28"/>
                <w:shd w:val="clear" w:color="auto" w:fill="auto"/>
                <w:lang w:eastAsia="en-US" w:bidi="en-US"/>
              </w:rPr>
            </w:pPr>
          </w:p>
        </w:tc>
        <w:tc>
          <w:tcPr>
            <w:tcW w:w="625"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center"/>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教学特色5分</w:t>
            </w:r>
          </w:p>
        </w:tc>
        <w:tc>
          <w:tcPr>
            <w:tcW w:w="4197"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注重培养学生质疑、发现、探究、合作、交流的学习品质，使学生的学习过程成为在教师指导下主动的、富有个性的探究过程，成为学会学习的过程，成为自我教育、自我发展的过程，重视培养学生积极的心理体验、健康的情感态度、正确的价值观、对他人、集体、自然和社会的责任感，使教学过程成为促进学生全面发展的过程。</w:t>
            </w:r>
          </w:p>
        </w:tc>
        <w:tc>
          <w:tcPr>
            <w:tcW w:w="1696"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240" w:lineRule="auto"/>
              <w:ind w:left="0" w:right="0" w:firstLine="0" w:firstLineChars="0"/>
              <w:jc w:val="both"/>
              <w:textAlignment w:val="auto"/>
              <w:rPr>
                <w:rFonts w:hint="default" w:ascii="Times New Roman" w:hAnsi="Times New Roman" w:eastAsia="仿宋_GB2312" w:cs="Times New Roman"/>
                <w:snapToGrid/>
                <w:kern w:val="0"/>
                <w:sz w:val="21"/>
                <w:szCs w:val="21"/>
              </w:rPr>
            </w:pPr>
            <w:r>
              <w:rPr>
                <w:rFonts w:hint="default" w:ascii="Times New Roman" w:hAnsi="Times New Roman" w:eastAsia="仿宋_GB2312" w:cs="Times New Roman"/>
                <w:snapToGrid/>
                <w:color w:val="000000"/>
                <w:spacing w:val="0"/>
                <w:w w:val="100"/>
                <w:kern w:val="0"/>
                <w:position w:val="0"/>
                <w:sz w:val="21"/>
                <w:szCs w:val="21"/>
                <w:shd w:val="clear" w:color="auto" w:fill="auto"/>
              </w:rPr>
              <w:t>有独创性得2分，有教学特色得2分，有经验材料得1分。</w:t>
            </w:r>
          </w:p>
        </w:tc>
        <w:tc>
          <w:tcPr>
            <w:tcW w:w="5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line="240" w:lineRule="auto"/>
              <w:ind w:left="0" w:right="0" w:firstLine="0" w:firstLineChars="0"/>
              <w:jc w:val="both"/>
              <w:textAlignment w:val="auto"/>
              <w:rPr>
                <w:rFonts w:hint="default" w:ascii="Times New Roman" w:hAnsi="Times New Roman" w:eastAsia="仿宋_GB2312" w:cs="Times New Roman"/>
                <w:snapToGrid/>
                <w:color w:val="000000"/>
                <w:spacing w:val="0"/>
                <w:w w:val="100"/>
                <w:kern w:val="0"/>
                <w:position w:val="0"/>
                <w:sz w:val="11"/>
                <w:szCs w:val="11"/>
                <w:shd w:val="clear" w:color="auto" w:fill="auto"/>
                <w:lang w:eastAsia="en-US" w:bidi="en-US"/>
              </w:rPr>
            </w:pPr>
          </w:p>
        </w:tc>
      </w:tr>
    </w:tbl>
    <w:p>
      <w:pPr>
        <w:ind w:left="0" w:leftChars="0" w:firstLine="0" w:firstLineChars="0"/>
      </w:pPr>
      <w:r>
        <w:rPr>
          <w:rFonts w:hint="default" w:ascii="Times New Roman" w:hAnsi="Times New Roman" w:eastAsia="仿宋_GB2312" w:cs="Times New Roman"/>
          <w:sz w:val="36"/>
          <w:szCs w:val="36"/>
        </w:rPr>
        <w:t>备注：标注★的为核心指</w:t>
      </w:r>
      <w:r>
        <w:rPr>
          <w:rFonts w:hint="default" w:ascii="Times New Roman" w:hAnsi="Times New Roman" w:eastAsia="仿宋_GB2312" w:cs="Times New Roman"/>
          <w:sz w:val="36"/>
          <w:szCs w:val="36"/>
          <w:lang w:eastAsia="zh-CN"/>
        </w:rPr>
        <w:t>标</w:t>
      </w:r>
    </w:p>
    <w:p>
      <w:bookmarkStart w:id="4" w:name="_GoBack"/>
      <w:bookmarkEnd w:id="4"/>
    </w:p>
    <w:sectPr>
      <w:pgSz w:w="11906" w:h="16838"/>
      <w:pgMar w:top="2098" w:right="1474" w:bottom="1984" w:left="1587" w:header="851" w:footer="992" w:gutter="0"/>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adjustRightInd/>
      <w:snapToGrid/>
      <w:spacing w:before="0" w:beforeLines="0" w:after="0" w:afterLines="0" w:line="1" w:lineRule="exact"/>
      <w:ind w:left="0" w:right="0" w:firstLine="0" w:firstLineChars="0"/>
      <w:jc w:val="left"/>
      <w:rPr>
        <w:rFonts w:ascii="Microsoft JhengHei Light" w:hAnsi="Microsoft JhengHei Light" w:eastAsia="Microsoft JhengHei Light" w:cs="Microsoft JhengHei Light"/>
        <w:snapToGrid/>
        <w:color w:val="000000"/>
        <w:spacing w:val="0"/>
        <w:w w:val="100"/>
        <w:kern w:val="0"/>
        <w:position w:val="0"/>
        <w:sz w:val="24"/>
        <w:szCs w:val="24"/>
        <w:shd w:val="clear" w:color="auto" w:fill="auto"/>
        <w:lang w:eastAsia="en-US" w:bidi="en-US"/>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C6049"/>
    <w:rsid w:val="66DC6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80" w:lineRule="exact"/>
      <w:ind w:firstLine="720" w:firstLineChars="200"/>
      <w:jc w:val="both"/>
    </w:pPr>
    <w:rPr>
      <w:rFonts w:ascii="Calibri" w:hAnsi="Calibri" w:eastAsia="仿宋_GB2312" w:cs="Times New Roman"/>
      <w:snapToGrid w:val="0"/>
      <w:kern w:val="0"/>
      <w:sz w:val="32"/>
      <w:szCs w:val="32"/>
      <w:lang w:val="en-US" w:eastAsia="zh-CN" w:bidi="ar-SA"/>
    </w:rPr>
  </w:style>
  <w:style w:type="paragraph" w:styleId="2">
    <w:name w:val="heading 1"/>
    <w:basedOn w:val="3"/>
    <w:next w:val="1"/>
    <w:qFormat/>
    <w:uiPriority w:val="0"/>
    <w:pPr>
      <w:keepNext/>
      <w:keepLines/>
      <w:spacing w:beforeAutospacing="0" w:afterAutospacing="0" w:line="700" w:lineRule="exact"/>
      <w:ind w:firstLine="0" w:firstLineChars="0"/>
      <w:outlineLvl w:val="0"/>
    </w:pPr>
    <w:rPr>
      <w:rFonts w:ascii="Arial" w:hAnsi="Arial" w:eastAsia="方正小标宋_GBK"/>
      <w:b w:val="0"/>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footer"/>
    <w:qFormat/>
    <w:uiPriority w:val="0"/>
    <w:pPr>
      <w:widowControl w:val="0"/>
      <w:tabs>
        <w:tab w:val="center" w:pos="4153"/>
        <w:tab w:val="right" w:pos="8306"/>
      </w:tabs>
      <w:adjustRightInd w:val="0"/>
      <w:snapToGrid w:val="0"/>
      <w:spacing w:line="580" w:lineRule="exact"/>
      <w:ind w:firstLine="720" w:firstLineChars="200"/>
      <w:jc w:val="left"/>
    </w:pPr>
    <w:rPr>
      <w:rFonts w:ascii="Calibri" w:hAnsi="Calibri" w:eastAsia="仿宋_GB2312" w:cs="Times New Roman"/>
      <w:snapToGrid w:val="0"/>
      <w:kern w:val="0"/>
      <w:sz w:val="18"/>
      <w:szCs w:val="32"/>
      <w:lang w:val="en-US" w:eastAsia="zh-CN" w:bidi="ar-SA"/>
    </w:rPr>
  </w:style>
  <w:style w:type="paragraph" w:customStyle="1" w:styleId="7">
    <w:name w:val="标题 #2"/>
    <w:qFormat/>
    <w:uiPriority w:val="0"/>
    <w:pPr>
      <w:keepNext w:val="0"/>
      <w:keepLines w:val="0"/>
      <w:widowControl w:val="0"/>
      <w:shd w:val="clear" w:color="auto" w:fill="FFFFFF"/>
      <w:bidi w:val="0"/>
      <w:spacing w:before="0" w:beforeLines="0" w:after="500" w:afterLines="0" w:line="240" w:lineRule="auto"/>
      <w:ind w:left="0" w:right="0" w:firstLine="120"/>
      <w:jc w:val="center"/>
      <w:outlineLvl w:val="1"/>
    </w:pPr>
    <w:rPr>
      <w:rFonts w:ascii="宋体" w:hAnsi="宋体" w:eastAsia="宋体" w:cs="宋体"/>
      <w:color w:val="000000"/>
      <w:spacing w:val="0"/>
      <w:w w:val="100"/>
      <w:position w:val="0"/>
      <w:sz w:val="44"/>
      <w:szCs w:val="44"/>
      <w:u w:val="none"/>
      <w:shd w:val="clear" w:color="auto" w:fill="auto"/>
      <w:lang w:val="zh-CN" w:eastAsia="zh-CN" w:bidi="zh-CN"/>
    </w:rPr>
  </w:style>
  <w:style w:type="paragraph" w:customStyle="1" w:styleId="8">
    <w:name w:val="其他"/>
    <w:qFormat/>
    <w:uiPriority w:val="0"/>
    <w:pPr>
      <w:keepNext w:val="0"/>
      <w:keepLines w:val="0"/>
      <w:widowControl w:val="0"/>
      <w:shd w:val="clear" w:color="auto" w:fill="FFFFFF"/>
      <w:bidi w:val="0"/>
      <w:spacing w:before="0" w:beforeLines="0" w:after="0" w:afterLines="0" w:line="314" w:lineRule="exact"/>
      <w:ind w:left="0" w:right="0" w:firstLine="0"/>
      <w:jc w:val="left"/>
    </w:pPr>
    <w:rPr>
      <w:rFonts w:ascii="宋体" w:hAnsi="宋体" w:eastAsia="宋体" w:cs="宋体"/>
      <w:color w:val="000000"/>
      <w:spacing w:val="0"/>
      <w:w w:val="100"/>
      <w:position w:val="0"/>
      <w:sz w:val="20"/>
      <w:szCs w:val="20"/>
      <w:u w:val="none"/>
      <w:shd w:val="clear" w:color="auto" w:fill="auto"/>
      <w:lang w:val="zh-CN" w:eastAsia="zh-CN" w:bidi="zh-CN"/>
    </w:rPr>
  </w:style>
  <w:style w:type="paragraph" w:customStyle="1" w:styleId="9">
    <w:name w:val="正文文本1"/>
    <w:qFormat/>
    <w:uiPriority w:val="0"/>
    <w:pPr>
      <w:keepNext w:val="0"/>
      <w:keepLines w:val="0"/>
      <w:widowControl w:val="0"/>
      <w:shd w:val="clear" w:color="auto" w:fill="FFFFFF"/>
      <w:bidi w:val="0"/>
      <w:spacing w:before="0" w:beforeLines="0" w:after="0" w:afterLines="0" w:line="382" w:lineRule="auto"/>
      <w:ind w:left="0" w:right="0" w:firstLine="400"/>
      <w:jc w:val="left"/>
    </w:pPr>
    <w:rPr>
      <w:rFonts w:ascii="宋体" w:hAnsi="宋体" w:eastAsia="宋体" w:cs="宋体"/>
      <w:color w:val="000000"/>
      <w:spacing w:val="0"/>
      <w:w w:val="100"/>
      <w:position w:val="0"/>
      <w:sz w:val="32"/>
      <w:szCs w:val="32"/>
      <w:u w:val="none"/>
      <w:shd w:val="clear" w:color="auto" w:fill="auto"/>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2021-05-18T08:52:00Z</dcterms:created>
  <dc:creator>Administrator</dc:creator>
  <cp:lastModifiedBy>Administrator</cp:lastModifiedBy>
  <dcterms:modified xsi:type="dcterms:W3CDTF">2021-05-18T08:52:58Z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DAC909DB8646479290B27C8D486C8CB8</vt:lpwstr>
  </property>
</Properties>
</file>